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413B" w14:textId="01C81366" w:rsidR="00341216" w:rsidRPr="00F9544E" w:rsidRDefault="00341216" w:rsidP="00341216">
      <w:pPr>
        <w:spacing w:after="0"/>
        <w:jc w:val="both"/>
        <w:rPr>
          <w:rFonts w:ascii="Arial" w:hAnsi="Arial" w:cs="Arial"/>
          <w:b/>
          <w:sz w:val="24"/>
          <w:szCs w:val="24"/>
          <w:u w:val="single"/>
        </w:rPr>
      </w:pPr>
      <w:r>
        <w:rPr>
          <w:rFonts w:ascii="Arial" w:eastAsia="Calibri" w:hAnsi="Arial" w:cs="Arial"/>
          <w:b/>
          <w:bCs/>
          <w:sz w:val="24"/>
          <w:szCs w:val="24"/>
          <w:u w:val="single"/>
        </w:rPr>
        <w:t>Statistické údaje o inkasu daně z příjmů dle § 38d ZDP</w:t>
      </w:r>
      <w:r w:rsidRPr="00F9544E">
        <w:rPr>
          <w:rFonts w:ascii="Arial" w:eastAsia="Calibri" w:hAnsi="Arial" w:cs="Arial"/>
          <w:b/>
          <w:bCs/>
          <w:sz w:val="24"/>
          <w:szCs w:val="24"/>
          <w:u w:val="single"/>
        </w:rPr>
        <w:t xml:space="preserve"> </w:t>
      </w:r>
      <w:r w:rsidRPr="00F9544E">
        <w:rPr>
          <w:rFonts w:ascii="Arial" w:hAnsi="Arial" w:cs="Arial"/>
          <w:b/>
          <w:sz w:val="24"/>
          <w:szCs w:val="24"/>
          <w:u w:val="single"/>
        </w:rPr>
        <w:t>(</w:t>
      </w:r>
      <w:r>
        <w:rPr>
          <w:rFonts w:ascii="Arial" w:hAnsi="Arial" w:cs="Arial"/>
          <w:b/>
          <w:sz w:val="24"/>
          <w:szCs w:val="24"/>
          <w:u w:val="single"/>
        </w:rPr>
        <w:t>4</w:t>
      </w:r>
      <w:r>
        <w:rPr>
          <w:rFonts w:ascii="Arial" w:hAnsi="Arial" w:cs="Arial"/>
          <w:b/>
          <w:sz w:val="24"/>
          <w:szCs w:val="24"/>
          <w:u w:val="single"/>
        </w:rPr>
        <w:t>5</w:t>
      </w:r>
      <w:r w:rsidRPr="00F9544E">
        <w:rPr>
          <w:rFonts w:ascii="Arial" w:hAnsi="Arial" w:cs="Arial"/>
          <w:b/>
          <w:sz w:val="24"/>
          <w:szCs w:val="24"/>
          <w:u w:val="single"/>
        </w:rPr>
        <w:t xml:space="preserve">/24) </w:t>
      </w:r>
    </w:p>
    <w:p w14:paraId="3723298F" w14:textId="77777777" w:rsidR="00341216" w:rsidRPr="00F9544E" w:rsidRDefault="00341216" w:rsidP="00341216">
      <w:pPr>
        <w:spacing w:after="0"/>
        <w:jc w:val="both"/>
        <w:rPr>
          <w:rFonts w:ascii="Arial" w:hAnsi="Arial" w:cs="Arial"/>
          <w:b/>
          <w:sz w:val="24"/>
          <w:szCs w:val="24"/>
          <w:u w:val="single"/>
        </w:rPr>
      </w:pPr>
    </w:p>
    <w:p w14:paraId="5AFE2478" w14:textId="77777777" w:rsidR="00341216" w:rsidRPr="00494C16" w:rsidRDefault="00341216" w:rsidP="00341216">
      <w:pPr>
        <w:jc w:val="both"/>
        <w:rPr>
          <w:rFonts w:ascii="Arial" w:hAnsi="Arial" w:cs="Arial"/>
          <w:b/>
          <w:u w:val="single"/>
        </w:rPr>
      </w:pPr>
      <w:r w:rsidRPr="00494C16">
        <w:rPr>
          <w:rFonts w:ascii="Arial" w:hAnsi="Arial" w:cs="Arial"/>
          <w:b/>
          <w:u w:val="single"/>
        </w:rPr>
        <w:t xml:space="preserve">Dotaz: </w:t>
      </w:r>
    </w:p>
    <w:p w14:paraId="1C429347" w14:textId="77777777" w:rsidR="00341216" w:rsidRPr="004A066E" w:rsidRDefault="00341216" w:rsidP="00341216">
      <w:pPr>
        <w:autoSpaceDE w:val="0"/>
        <w:autoSpaceDN w:val="0"/>
        <w:adjustRightInd w:val="0"/>
        <w:jc w:val="both"/>
        <w:rPr>
          <w:rFonts w:ascii="Arial" w:hAnsi="Arial" w:cs="Arial"/>
        </w:rPr>
      </w:pPr>
      <w:r w:rsidRPr="00EB3C91">
        <w:rPr>
          <w:rFonts w:ascii="Arial" w:hAnsi="Arial" w:cs="Arial"/>
          <w14:ligatures w14:val="standardContextual"/>
        </w:rPr>
        <w:t xml:space="preserve">Žádám tímto o </w:t>
      </w:r>
      <w:r w:rsidRPr="00B03EF1">
        <w:rPr>
          <w:rFonts w:ascii="Arial" w:hAnsi="Arial" w:cs="Arial"/>
        </w:rPr>
        <w:t xml:space="preserve">poskytnutí statistických údajů o inkasu daně z příjmů dle § </w:t>
      </w:r>
      <w:r>
        <w:rPr>
          <w:rFonts w:ascii="Arial" w:hAnsi="Arial" w:cs="Arial"/>
        </w:rPr>
        <w:t>38d</w:t>
      </w:r>
      <w:r w:rsidRPr="00B03EF1">
        <w:rPr>
          <w:rFonts w:ascii="Arial" w:hAnsi="Arial" w:cs="Arial"/>
        </w:rPr>
        <w:t xml:space="preserve"> z</w:t>
      </w:r>
      <w:r>
        <w:rPr>
          <w:rFonts w:ascii="Arial" w:hAnsi="Arial" w:cs="Arial"/>
        </w:rPr>
        <w:t>. </w:t>
      </w:r>
      <w:r w:rsidRPr="00B03EF1">
        <w:rPr>
          <w:rFonts w:ascii="Arial" w:hAnsi="Arial" w:cs="Arial"/>
        </w:rPr>
        <w:t>č.</w:t>
      </w:r>
      <w:r>
        <w:rPr>
          <w:rFonts w:ascii="Arial" w:hAnsi="Arial" w:cs="Arial"/>
        </w:rPr>
        <w:t> </w:t>
      </w:r>
      <w:r w:rsidRPr="00B03EF1">
        <w:rPr>
          <w:rFonts w:ascii="Arial" w:hAnsi="Arial" w:cs="Arial"/>
        </w:rPr>
        <w:t xml:space="preserve">586/1992 Sb., </w:t>
      </w:r>
      <w:r w:rsidRPr="004A066E">
        <w:rPr>
          <w:rFonts w:ascii="Arial" w:hAnsi="Arial" w:cs="Arial"/>
        </w:rPr>
        <w:t xml:space="preserve">o daních z příjmů, ve znění p. p. za období </w:t>
      </w:r>
      <w:r>
        <w:rPr>
          <w:rFonts w:ascii="Arial" w:hAnsi="Arial" w:cs="Arial"/>
        </w:rPr>
        <w:t xml:space="preserve">let </w:t>
      </w:r>
      <w:r w:rsidRPr="004A066E">
        <w:rPr>
          <w:rFonts w:ascii="Arial" w:hAnsi="Arial" w:cs="Arial"/>
        </w:rPr>
        <w:t xml:space="preserve">2014 až 2023. </w:t>
      </w:r>
    </w:p>
    <w:p w14:paraId="2489250A" w14:textId="77777777" w:rsidR="00341216" w:rsidRPr="000F4C38" w:rsidRDefault="00341216" w:rsidP="00341216">
      <w:pPr>
        <w:autoSpaceDE w:val="0"/>
        <w:autoSpaceDN w:val="0"/>
        <w:adjustRightInd w:val="0"/>
        <w:spacing w:after="0" w:line="240" w:lineRule="auto"/>
        <w:jc w:val="both"/>
        <w:rPr>
          <w:rFonts w:ascii="Arial" w:hAnsi="Arial" w:cs="Arial"/>
          <w14:ligatures w14:val="standardContextual"/>
        </w:rPr>
      </w:pPr>
    </w:p>
    <w:p w14:paraId="3C5EC3BB" w14:textId="77777777" w:rsidR="00341216" w:rsidRPr="00494C16" w:rsidRDefault="00341216" w:rsidP="00341216">
      <w:pPr>
        <w:autoSpaceDE w:val="0"/>
        <w:autoSpaceDN w:val="0"/>
        <w:adjustRightInd w:val="0"/>
        <w:jc w:val="both"/>
        <w:rPr>
          <w:rFonts w:ascii="Arial" w:hAnsi="Arial" w:cs="Arial"/>
          <w:b/>
          <w:u w:val="single"/>
        </w:rPr>
      </w:pPr>
      <w:r w:rsidRPr="00494C16">
        <w:rPr>
          <w:rFonts w:ascii="Arial" w:hAnsi="Arial" w:cs="Arial"/>
          <w:b/>
          <w:u w:val="single"/>
        </w:rPr>
        <w:t xml:space="preserve">Odpověď: </w:t>
      </w:r>
    </w:p>
    <w:p w14:paraId="4B4F2D27" w14:textId="77777777" w:rsidR="00341216" w:rsidRDefault="00341216" w:rsidP="00341216">
      <w:pPr>
        <w:autoSpaceDE w:val="0"/>
        <w:autoSpaceDN w:val="0"/>
        <w:adjustRightInd w:val="0"/>
        <w:spacing w:line="276" w:lineRule="auto"/>
        <w:jc w:val="both"/>
        <w:rPr>
          <w:rFonts w:ascii="Arial" w:hAnsi="Arial" w:cs="Arial"/>
          <w:color w:val="000000"/>
          <w14:ligatures w14:val="standardContextual"/>
        </w:rPr>
      </w:pPr>
      <w:r w:rsidRPr="00341216">
        <w:rPr>
          <w:rFonts w:ascii="Arial" w:hAnsi="Arial" w:cs="Arial"/>
          <w:color w:val="000000"/>
          <w14:ligatures w14:val="standardContextual"/>
        </w:rPr>
        <w:t>V</w:t>
      </w:r>
      <w:r w:rsidRPr="00341216">
        <w:rPr>
          <w:rFonts w:ascii="Arial" w:hAnsi="Arial" w:cs="Arial"/>
          <w:color w:val="000000"/>
          <w14:ligatures w14:val="standardContextual"/>
        </w:rPr>
        <w:t>ýše inkasa daně vybírané srážkou podle zvláštní sazby daně dle jednotlivých druhů příjmů, ze kterých je srážena tato daň, nelze poskytnout. Je tomu tak proto, že z vyúčtování daně vybírané srážkou podle zvláštní sazby daně je možné pouze jednoznačně určit, zda plátce daně vyplácel příjmy, ze kterých srazil daň vybíranou srážkou podle zvláštní sazby fyzickým nebo právnickým osobám. Do tiskopisu vyúčtování plátce daně</w:t>
      </w:r>
      <w:r>
        <w:rPr>
          <w:rFonts w:ascii="Arial" w:hAnsi="Arial" w:cs="Arial"/>
          <w:color w:val="000000"/>
          <w14:ligatures w14:val="standardContextual"/>
        </w:rPr>
        <w:t xml:space="preserve"> </w:t>
      </w:r>
      <w:r w:rsidRPr="00341216">
        <w:rPr>
          <w:rFonts w:ascii="Arial" w:hAnsi="Arial" w:cs="Arial"/>
          <w:color w:val="000000"/>
          <w14:ligatures w14:val="standardContextual"/>
        </w:rPr>
        <w:t>uvádí celkovou částku jeho daňové povinnosti, tzn. celkovou daň, kterou měl povinnost v příslušném měsíci srazit, a</w:t>
      </w:r>
      <w:r>
        <w:rPr>
          <w:rFonts w:ascii="Arial" w:hAnsi="Arial" w:cs="Arial"/>
          <w:color w:val="000000"/>
          <w14:ligatures w14:val="standardContextual"/>
        </w:rPr>
        <w:t> </w:t>
      </w:r>
      <w:r w:rsidRPr="00341216">
        <w:rPr>
          <w:rFonts w:ascii="Arial" w:hAnsi="Arial" w:cs="Arial"/>
          <w:color w:val="000000"/>
          <w14:ligatures w14:val="standardContextual"/>
        </w:rPr>
        <w:t xml:space="preserve">celkovou daň, kterou v příslušném měsíci skutečně srazil. </w:t>
      </w:r>
    </w:p>
    <w:p w14:paraId="63089D35" w14:textId="5C83E759" w:rsidR="00341216" w:rsidRDefault="00341216" w:rsidP="00341216">
      <w:pPr>
        <w:autoSpaceDE w:val="0"/>
        <w:autoSpaceDN w:val="0"/>
        <w:adjustRightInd w:val="0"/>
        <w:spacing w:line="276" w:lineRule="auto"/>
        <w:jc w:val="both"/>
        <w:rPr>
          <w:rFonts w:ascii="Arial" w:hAnsi="Arial" w:cs="Arial"/>
          <w:color w:val="000000"/>
          <w14:ligatures w14:val="standardContextual"/>
        </w:rPr>
      </w:pPr>
      <w:r w:rsidRPr="00341216">
        <w:rPr>
          <w:rFonts w:ascii="Arial" w:hAnsi="Arial" w:cs="Arial"/>
          <w:color w:val="000000"/>
          <w14:ligatures w14:val="standardContextual"/>
        </w:rPr>
        <w:t>Jak vidno z předchozího vysvětlení, požadované údaje o výši inkasa dle jednotlivých příjmů,</w:t>
      </w:r>
      <w:r>
        <w:rPr>
          <w:rFonts w:ascii="Arial" w:hAnsi="Arial" w:cs="Arial"/>
          <w:color w:val="000000"/>
          <w14:ligatures w14:val="standardContextual"/>
        </w:rPr>
        <w:t xml:space="preserve"> </w:t>
      </w:r>
      <w:r w:rsidRPr="00341216">
        <w:rPr>
          <w:rFonts w:ascii="Arial" w:hAnsi="Arial" w:cs="Arial"/>
          <w:color w:val="000000"/>
          <w14:ligatures w14:val="standardContextual"/>
        </w:rPr>
        <w:t xml:space="preserve">které podléhají dani vybírané srážkou, nemá povinný subjekt k dispozici. </w:t>
      </w:r>
    </w:p>
    <w:p w14:paraId="09EB19FB" w14:textId="42221A2E" w:rsidR="001E1838" w:rsidRPr="00341216" w:rsidRDefault="00341216" w:rsidP="00341216">
      <w:pPr>
        <w:autoSpaceDE w:val="0"/>
        <w:autoSpaceDN w:val="0"/>
        <w:adjustRightInd w:val="0"/>
        <w:spacing w:line="276" w:lineRule="auto"/>
        <w:jc w:val="both"/>
        <w:rPr>
          <w:rFonts w:ascii="Arial" w:hAnsi="Arial" w:cs="Arial"/>
        </w:rPr>
      </w:pPr>
      <w:r w:rsidRPr="00341216">
        <w:rPr>
          <w:rFonts w:ascii="Arial" w:hAnsi="Arial" w:cs="Arial"/>
          <w:color w:val="000000"/>
          <w14:ligatures w14:val="standardContextual"/>
        </w:rPr>
        <w:t>Pro úplnost se podává, že informace o</w:t>
      </w:r>
      <w:r>
        <w:rPr>
          <w:rFonts w:ascii="Arial" w:hAnsi="Arial" w:cs="Arial"/>
          <w:color w:val="000000"/>
          <w14:ligatures w14:val="standardContextual"/>
        </w:rPr>
        <w:t> </w:t>
      </w:r>
      <w:r w:rsidRPr="00341216">
        <w:rPr>
          <w:rFonts w:ascii="Arial" w:hAnsi="Arial" w:cs="Arial"/>
          <w:color w:val="000000"/>
          <w14:ligatures w14:val="standardContextual"/>
        </w:rPr>
        <w:t xml:space="preserve">celkovém inkasu daně vybírané srážkou (jak za fyzické, tak za právnické osoby) je k nalezení zde: </w:t>
      </w:r>
      <w:hyperlink r:id="rId4" w:history="1">
        <w:r>
          <w:rPr>
            <w:rStyle w:val="Hypertextovodkaz"/>
            <w:rFonts w:ascii="Arial" w:hAnsi="Arial" w:cs="Arial"/>
          </w:rPr>
          <w:t>https://www.financnisprava.cz/cs/dane/analyzy-a-statistiky/udaje-z-vyberu-dani</w:t>
        </w:r>
      </w:hyperlink>
      <w:r w:rsidRPr="000D40BA">
        <w:rPr>
          <w:rFonts w:ascii="Arial" w:hAnsi="Arial" w:cs="Arial"/>
        </w:rPr>
        <w:t>,</w:t>
      </w:r>
      <w:r w:rsidRPr="00341216">
        <w:rPr>
          <w:rFonts w:ascii="Arial" w:hAnsi="Arial" w:cs="Arial"/>
          <w:color w:val="000000"/>
          <w14:ligatures w14:val="standardContextual"/>
        </w:rPr>
        <w:t xml:space="preserve"> a to v</w:t>
      </w:r>
      <w:r>
        <w:rPr>
          <w:rFonts w:ascii="Arial" w:hAnsi="Arial" w:cs="Arial"/>
          <w:color w:val="000000"/>
          <w14:ligatures w14:val="standardContextual"/>
        </w:rPr>
        <w:t> </w:t>
      </w:r>
      <w:r w:rsidRPr="00341216">
        <w:rPr>
          <w:rFonts w:ascii="Arial" w:hAnsi="Arial" w:cs="Arial"/>
          <w:color w:val="000000"/>
          <w14:ligatures w14:val="standardContextual"/>
        </w:rPr>
        <w:t>tabulce s názvem „</w:t>
      </w:r>
      <w:r w:rsidRPr="00341216">
        <w:rPr>
          <w:rFonts w:ascii="Arial" w:hAnsi="Arial" w:cs="Arial"/>
          <w:i/>
          <w:iCs/>
          <w:color w:val="000000"/>
          <w14:ligatures w14:val="standardContextual"/>
        </w:rPr>
        <w:t>Vývoj inkasa za vybrané druhy daní a</w:t>
      </w:r>
      <w:r>
        <w:rPr>
          <w:rFonts w:ascii="Arial" w:hAnsi="Arial" w:cs="Arial"/>
          <w:i/>
          <w:iCs/>
          <w:color w:val="000000"/>
          <w14:ligatures w14:val="standardContextual"/>
        </w:rPr>
        <w:t> </w:t>
      </w:r>
      <w:r w:rsidRPr="00341216">
        <w:rPr>
          <w:rFonts w:ascii="Arial" w:hAnsi="Arial" w:cs="Arial"/>
          <w:i/>
          <w:iCs/>
          <w:color w:val="000000"/>
          <w14:ligatures w14:val="standardContextual"/>
        </w:rPr>
        <w:t>dalších příjmů za ČR v letech 1993–2023 (v mil. Kč)</w:t>
      </w:r>
      <w:r w:rsidRPr="00341216">
        <w:rPr>
          <w:rFonts w:ascii="Arial" w:hAnsi="Arial" w:cs="Arial"/>
          <w:color w:val="000000"/>
          <w14:ligatures w14:val="standardContextual"/>
        </w:rPr>
        <w:t>“ na listu s názvem „</w:t>
      </w:r>
      <w:r w:rsidRPr="00341216">
        <w:rPr>
          <w:rFonts w:ascii="Arial" w:hAnsi="Arial" w:cs="Arial"/>
          <w:color w:val="000000"/>
          <w14:ligatures w14:val="standardContextual"/>
        </w:rPr>
        <w:t>1993–2023</w:t>
      </w:r>
      <w:r w:rsidRPr="00341216">
        <w:rPr>
          <w:rFonts w:ascii="Arial" w:hAnsi="Arial" w:cs="Arial"/>
          <w:color w:val="000000"/>
          <w14:ligatures w14:val="standardContextual"/>
        </w:rPr>
        <w:t>“. Z</w:t>
      </w:r>
      <w:r>
        <w:rPr>
          <w:rFonts w:ascii="Arial" w:hAnsi="Arial" w:cs="Arial"/>
          <w:color w:val="000000"/>
          <w14:ligatures w14:val="standardContextual"/>
        </w:rPr>
        <w:t> </w:t>
      </w:r>
      <w:r w:rsidRPr="00341216">
        <w:rPr>
          <w:rFonts w:ascii="Arial" w:hAnsi="Arial" w:cs="Arial"/>
          <w:color w:val="000000"/>
          <w14:ligatures w14:val="standardContextual"/>
        </w:rPr>
        <w:t>daňového informačního systému by bylo možno získat pouze informaci o předepsané dani v členění na fyzické a právnické osoby</w:t>
      </w:r>
      <w:r>
        <w:rPr>
          <w:rFonts w:ascii="Arial" w:hAnsi="Arial" w:cs="Arial"/>
          <w:color w:val="000000"/>
          <w14:ligatures w14:val="standardContextual"/>
        </w:rPr>
        <w:t xml:space="preserve">. </w:t>
      </w:r>
    </w:p>
    <w:sectPr w:rsidR="001E1838" w:rsidRPr="0034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16"/>
    <w:rsid w:val="001E1838"/>
    <w:rsid w:val="00341216"/>
    <w:rsid w:val="008A4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9E8"/>
  <w15:chartTrackingRefBased/>
  <w15:docId w15:val="{5A4789DB-31E6-4317-A82E-7948FF5A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1216"/>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341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nancnisprava.cz/cs/dane/analyzy-a-statistiky/udaje-z-vyberu-da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1361</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2024-06-20T04:32:00Z</dcterms:created>
  <dcterms:modified xsi:type="dcterms:W3CDTF">2024-06-20T04:36:00Z</dcterms:modified>
</cp:coreProperties>
</file>