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747B" w14:textId="2CFF0C6D" w:rsidR="000453D4" w:rsidRPr="000453D4" w:rsidRDefault="0097399D" w:rsidP="00407AB7">
      <w:pPr>
        <w:jc w:val="both"/>
        <w:rPr>
          <w:b/>
          <w:bCs/>
        </w:rPr>
      </w:pPr>
      <w:r>
        <w:rPr>
          <w:b/>
          <w:bCs/>
        </w:rPr>
        <w:t xml:space="preserve">Postoj GFŘ k zajištění jednotné správy </w:t>
      </w:r>
      <w:r w:rsidR="000453D4" w:rsidRPr="000453D4">
        <w:rPr>
          <w:b/>
          <w:bCs/>
        </w:rPr>
        <w:t>dorovnávací</w:t>
      </w:r>
      <w:r>
        <w:rPr>
          <w:b/>
          <w:bCs/>
        </w:rPr>
        <w:t>ch</w:t>
      </w:r>
      <w:r w:rsidR="000453D4" w:rsidRPr="000453D4">
        <w:rPr>
          <w:b/>
          <w:bCs/>
        </w:rPr>
        <w:t xml:space="preserve"> daní</w:t>
      </w:r>
    </w:p>
    <w:p w14:paraId="303F85CA" w14:textId="77777777" w:rsidR="000453D4" w:rsidRDefault="000453D4" w:rsidP="00407AB7">
      <w:pPr>
        <w:jc w:val="both"/>
      </w:pPr>
    </w:p>
    <w:p w14:paraId="5CF48DAD" w14:textId="4F8C8943" w:rsidR="003702AD" w:rsidRDefault="00B253BE" w:rsidP="00407AB7">
      <w:pPr>
        <w:jc w:val="both"/>
      </w:pPr>
      <w:r>
        <w:t>Generální finanční ředitelství informuje, že p</w:t>
      </w:r>
      <w:r w:rsidR="00901A56" w:rsidRPr="00286277">
        <w:t xml:space="preserve">ro zdaňovací </w:t>
      </w:r>
      <w:r w:rsidR="005A2410">
        <w:t>období</w:t>
      </w:r>
      <w:r w:rsidR="004E445F">
        <w:t xml:space="preserve"> </w:t>
      </w:r>
      <w:r w:rsidR="003702AD">
        <w:t xml:space="preserve">započatá </w:t>
      </w:r>
      <w:r w:rsidR="00901A56" w:rsidRPr="00286277">
        <w:t>po</w:t>
      </w:r>
      <w:r w:rsidR="00BE7DDD">
        <w:t xml:space="preserve"> </w:t>
      </w:r>
      <w:r w:rsidR="004E445F">
        <w:t xml:space="preserve">datu </w:t>
      </w:r>
      <w:r w:rsidR="00901A56" w:rsidRPr="00286277">
        <w:t xml:space="preserve">31. </w:t>
      </w:r>
      <w:r w:rsidR="005A2410">
        <w:t>12.</w:t>
      </w:r>
      <w:r w:rsidR="005A2410" w:rsidRPr="00286277">
        <w:t xml:space="preserve"> </w:t>
      </w:r>
      <w:r w:rsidR="00901A56" w:rsidRPr="00286277">
        <w:t>2023</w:t>
      </w:r>
      <w:r w:rsidR="00407AB7">
        <w:t>,</w:t>
      </w:r>
      <w:r w:rsidR="00901A56" w:rsidRPr="00286277">
        <w:t xml:space="preserve"> </w:t>
      </w:r>
      <w:r w:rsidR="005A2410">
        <w:t>byly</w:t>
      </w:r>
      <w:r w:rsidR="005A2410" w:rsidRPr="00286277">
        <w:t xml:space="preserve"> </w:t>
      </w:r>
      <w:r w:rsidR="00885903" w:rsidRPr="00286277">
        <w:t>implementac</w:t>
      </w:r>
      <w:r w:rsidR="00744876">
        <w:t>í</w:t>
      </w:r>
      <w:r w:rsidR="00885903" w:rsidRPr="00286277">
        <w:t xml:space="preserve"> Směrnice </w:t>
      </w:r>
      <w:r w:rsidR="00885903">
        <w:t>R</w:t>
      </w:r>
      <w:r w:rsidR="00885903" w:rsidRPr="00286277">
        <w:t>ady EU 2022/2523</w:t>
      </w:r>
      <w:r w:rsidR="00885903">
        <w:t xml:space="preserve"> ze dne 14. prosince 2022 </w:t>
      </w:r>
      <w:r w:rsidR="00901A56" w:rsidRPr="00286277">
        <w:t>zaveden</w:t>
      </w:r>
      <w:r w:rsidR="005A2410">
        <w:t>y</w:t>
      </w:r>
      <w:r w:rsidR="00901A56" w:rsidRPr="00286277">
        <w:t xml:space="preserve"> dv</w:t>
      </w:r>
      <w:r w:rsidR="005A2410">
        <w:t>ě</w:t>
      </w:r>
      <w:r w:rsidR="00901A56" w:rsidRPr="00286277">
        <w:t xml:space="preserve"> nov</w:t>
      </w:r>
      <w:r w:rsidR="005A2410">
        <w:t>é</w:t>
      </w:r>
      <w:r w:rsidR="00901A56" w:rsidRPr="00286277">
        <w:t xml:space="preserve"> dan</w:t>
      </w:r>
      <w:r w:rsidR="005A2410">
        <w:t>ě</w:t>
      </w:r>
      <w:r w:rsidR="00901A56" w:rsidRPr="00286277">
        <w:t xml:space="preserve"> – </w:t>
      </w:r>
      <w:r w:rsidR="007123F6" w:rsidRPr="00286277">
        <w:t xml:space="preserve">přiřazovaná </w:t>
      </w:r>
      <w:r w:rsidR="00901A56" w:rsidRPr="00286277">
        <w:t>dorovnávací daň a</w:t>
      </w:r>
      <w:r w:rsidR="005A2410">
        <w:t> </w:t>
      </w:r>
      <w:r w:rsidR="007123F6" w:rsidRPr="00286277">
        <w:t>vnitr</w:t>
      </w:r>
      <w:r w:rsidR="009B34E9" w:rsidRPr="00286277">
        <w:t>o</w:t>
      </w:r>
      <w:r w:rsidR="007123F6" w:rsidRPr="00286277">
        <w:t>státní</w:t>
      </w:r>
      <w:r>
        <w:t xml:space="preserve"> </w:t>
      </w:r>
      <w:r w:rsidR="00901A56" w:rsidRPr="00286277">
        <w:t xml:space="preserve">dorovnávací daň. </w:t>
      </w:r>
      <w:r w:rsidR="00744876">
        <w:t>Transpozice</w:t>
      </w:r>
      <w:r w:rsidR="004E445F">
        <w:t xml:space="preserve"> této směrnice, </w:t>
      </w:r>
      <w:r w:rsidR="004E445F" w:rsidRPr="00286277">
        <w:t>která do evropského právního rámce př</w:t>
      </w:r>
      <w:r w:rsidR="004E445F">
        <w:t>e</w:t>
      </w:r>
      <w:r w:rsidR="004E445F" w:rsidRPr="00286277">
        <w:t xml:space="preserve">náší globální pravidla dohodnutá na úrovni OECD </w:t>
      </w:r>
      <w:r w:rsidR="004E445F">
        <w:t>(</w:t>
      </w:r>
      <w:r w:rsidR="004E445F" w:rsidRPr="00286277">
        <w:t>tzv. Pilíř I</w:t>
      </w:r>
      <w:r w:rsidR="004E445F">
        <w:t xml:space="preserve">I), byla </w:t>
      </w:r>
      <w:r w:rsidR="00744876">
        <w:t>do české legislativy</w:t>
      </w:r>
      <w:r w:rsidR="004E445F">
        <w:t xml:space="preserve"> </w:t>
      </w:r>
      <w:r w:rsidR="00744876">
        <w:t>provedena přijetím z</w:t>
      </w:r>
      <w:r w:rsidR="00744876" w:rsidRPr="00286277">
        <w:t>ák</w:t>
      </w:r>
      <w:r w:rsidR="00D66E15">
        <w:t xml:space="preserve">ona </w:t>
      </w:r>
      <w:r w:rsidR="00744876">
        <w:t>č. 416/2023 Sb.,</w:t>
      </w:r>
      <w:r w:rsidR="00744876" w:rsidRPr="00286277">
        <w:t xml:space="preserve"> o dorovnávacích daních pro velké nadnárodní skupiny a velké vnitrostátní skupiny</w:t>
      </w:r>
      <w:r w:rsidR="00744876">
        <w:t xml:space="preserve">. </w:t>
      </w:r>
      <w:r w:rsidR="00901A56" w:rsidRPr="00286277">
        <w:t xml:space="preserve">Cílem </w:t>
      </w:r>
      <w:r w:rsidR="00885903">
        <w:t>tohoto kroku je</w:t>
      </w:r>
      <w:r w:rsidR="00901A56" w:rsidRPr="00286277">
        <w:t xml:space="preserve"> zajištění </w:t>
      </w:r>
      <w:r w:rsidR="004E445F">
        <w:t xml:space="preserve">celosvětově </w:t>
      </w:r>
      <w:r w:rsidR="00901A56" w:rsidRPr="00286277">
        <w:t>efektivní úrovně zdanění velkých nadnárodních</w:t>
      </w:r>
      <w:r w:rsidR="00744876">
        <w:t xml:space="preserve"> skupin</w:t>
      </w:r>
      <w:r w:rsidR="00901A56" w:rsidRPr="00286277">
        <w:t xml:space="preserve"> a</w:t>
      </w:r>
      <w:r w:rsidR="005A2410">
        <w:t> </w:t>
      </w:r>
      <w:r w:rsidR="00901A56" w:rsidRPr="00286277">
        <w:t>vnitrostátních skupin.</w:t>
      </w:r>
      <w:r w:rsidR="003702AD">
        <w:t xml:space="preserve"> Za</w:t>
      </w:r>
      <w:r w:rsidR="008A6E46">
        <w:t> </w:t>
      </w:r>
      <w:r w:rsidR="003702AD">
        <w:t xml:space="preserve">účelem </w:t>
      </w:r>
      <w:r w:rsidR="00407AB7">
        <w:t>jednotné</w:t>
      </w:r>
      <w:r w:rsidR="003702AD">
        <w:t xml:space="preserve"> správy </w:t>
      </w:r>
      <w:r w:rsidR="00F75ADF" w:rsidRPr="00286277">
        <w:t>zaveden</w:t>
      </w:r>
      <w:r w:rsidR="00F75ADF">
        <w:t>ých</w:t>
      </w:r>
      <w:r w:rsidR="00F75ADF" w:rsidRPr="00286277">
        <w:t xml:space="preserve"> da</w:t>
      </w:r>
      <w:r w:rsidR="00F75ADF">
        <w:t xml:space="preserve">ní </w:t>
      </w:r>
      <w:r w:rsidR="003702AD" w:rsidRPr="00286277">
        <w:t xml:space="preserve">vydalo </w:t>
      </w:r>
      <w:r w:rsidR="00F75ADF" w:rsidRPr="00286277">
        <w:t xml:space="preserve">OECD </w:t>
      </w:r>
      <w:r w:rsidR="003702AD" w:rsidRPr="00286277">
        <w:t>celou řadu materiálů</w:t>
      </w:r>
      <w:r w:rsidR="00901A56" w:rsidRPr="00286277">
        <w:t xml:space="preserve">. </w:t>
      </w:r>
    </w:p>
    <w:p w14:paraId="4F85E065" w14:textId="77777777" w:rsidR="003702AD" w:rsidRDefault="003702AD" w:rsidP="003702AD">
      <w:pPr>
        <w:jc w:val="both"/>
      </w:pPr>
    </w:p>
    <w:p w14:paraId="45F7B3AF" w14:textId="48B5B8FB" w:rsidR="00901A56" w:rsidRPr="00286277" w:rsidRDefault="00901A56" w:rsidP="000C6982">
      <w:pPr>
        <w:jc w:val="both"/>
      </w:pPr>
      <w:r w:rsidRPr="00286277">
        <w:t xml:space="preserve">V prvé řadě </w:t>
      </w:r>
      <w:r w:rsidR="00744876">
        <w:t>se jedná</w:t>
      </w:r>
      <w:r w:rsidR="00744876" w:rsidRPr="00286277">
        <w:t xml:space="preserve"> </w:t>
      </w:r>
      <w:r w:rsidRPr="00286277">
        <w:t>o modelová pravidla</w:t>
      </w:r>
      <w:r w:rsidR="00F75ADF">
        <w:t xml:space="preserve"> </w:t>
      </w:r>
      <w:r w:rsidR="00AA5C35" w:rsidRPr="00286277">
        <w:t xml:space="preserve">a </w:t>
      </w:r>
      <w:r w:rsidR="00B253BE">
        <w:t xml:space="preserve">jejich </w:t>
      </w:r>
      <w:r w:rsidR="00D66E15" w:rsidRPr="00286277">
        <w:t>koment</w:t>
      </w:r>
      <w:r w:rsidR="00D66E15">
        <w:t xml:space="preserve">ovaná </w:t>
      </w:r>
      <w:r w:rsidR="00B253BE">
        <w:t>znění</w:t>
      </w:r>
      <w:r w:rsidRPr="00286277">
        <w:t xml:space="preserve">. Na </w:t>
      </w:r>
      <w:r w:rsidR="00B253BE">
        <w:t>tyto dokumenty</w:t>
      </w:r>
      <w:r w:rsidR="00B253BE" w:rsidRPr="00286277">
        <w:t xml:space="preserve"> </w:t>
      </w:r>
      <w:r w:rsidRPr="00286277">
        <w:t xml:space="preserve">pak navazují </w:t>
      </w:r>
      <w:r w:rsidR="00744876" w:rsidRPr="00286277">
        <w:t xml:space="preserve">výkladová pravidla </w:t>
      </w:r>
      <w:r w:rsidR="00744876">
        <w:t>(</w:t>
      </w:r>
      <w:proofErr w:type="spellStart"/>
      <w:r w:rsidR="00F75ADF">
        <w:t>A</w:t>
      </w:r>
      <w:r w:rsidRPr="00286277">
        <w:t>greed</w:t>
      </w:r>
      <w:proofErr w:type="spellEnd"/>
      <w:r w:rsidRPr="00286277">
        <w:t xml:space="preserve"> </w:t>
      </w:r>
      <w:r w:rsidR="00F75ADF">
        <w:t>A</w:t>
      </w:r>
      <w:r w:rsidRPr="00286277">
        <w:t xml:space="preserve">dministrative </w:t>
      </w:r>
      <w:proofErr w:type="spellStart"/>
      <w:r w:rsidR="00F75ADF">
        <w:t>G</w:t>
      </w:r>
      <w:r w:rsidRPr="00286277">
        <w:t>uidance</w:t>
      </w:r>
      <w:proofErr w:type="spellEnd"/>
      <w:r w:rsidR="00B253BE">
        <w:t>)</w:t>
      </w:r>
      <w:r w:rsidRPr="00286277">
        <w:t xml:space="preserve">, </w:t>
      </w:r>
      <w:r w:rsidR="00F75ADF">
        <w:t>která by měla</w:t>
      </w:r>
      <w:r w:rsidRPr="00286277">
        <w:t xml:space="preserve"> zajistit jednotn</w:t>
      </w:r>
      <w:r w:rsidR="00F75ADF">
        <w:t>ou</w:t>
      </w:r>
      <w:r w:rsidRPr="00286277">
        <w:t xml:space="preserve"> </w:t>
      </w:r>
      <w:r w:rsidR="00F75ADF">
        <w:t>interpretaci</w:t>
      </w:r>
      <w:r w:rsidR="00F75ADF" w:rsidRPr="00286277">
        <w:t xml:space="preserve"> </w:t>
      </w:r>
      <w:r w:rsidR="00F75ADF">
        <w:t xml:space="preserve">modelových </w:t>
      </w:r>
      <w:r w:rsidR="00F75ADF" w:rsidRPr="00286277">
        <w:t>pravid</w:t>
      </w:r>
      <w:r w:rsidR="00F75ADF">
        <w:t>e</w:t>
      </w:r>
      <w:r w:rsidR="00F75ADF" w:rsidRPr="00286277">
        <w:t>l</w:t>
      </w:r>
      <w:r w:rsidRPr="00286277">
        <w:t xml:space="preserve">. </w:t>
      </w:r>
      <w:r w:rsidR="00AA5C35" w:rsidRPr="00286277">
        <w:t>T</w:t>
      </w:r>
      <w:r w:rsidR="00744876">
        <w:t>a</w:t>
      </w:r>
      <w:r w:rsidR="00AA5C35" w:rsidRPr="00286277">
        <w:t xml:space="preserve">to skutečnost </w:t>
      </w:r>
      <w:r w:rsidR="00744876">
        <w:t>se</w:t>
      </w:r>
      <w:r w:rsidR="00F75ADF">
        <w:t xml:space="preserve"> </w:t>
      </w:r>
      <w:r w:rsidR="00AA5C35" w:rsidRPr="00286277">
        <w:t>promítl</w:t>
      </w:r>
      <w:r w:rsidR="00744876">
        <w:t>a</w:t>
      </w:r>
      <w:r w:rsidR="00AA5C35" w:rsidRPr="00286277">
        <w:t xml:space="preserve"> </w:t>
      </w:r>
      <w:r w:rsidR="00F75ADF">
        <w:t>v</w:t>
      </w:r>
      <w:r w:rsidR="008A6E46">
        <w:t> </w:t>
      </w:r>
      <w:r w:rsidR="00744876">
        <w:t>§</w:t>
      </w:r>
      <w:r w:rsidR="008A6E46">
        <w:t> </w:t>
      </w:r>
      <w:r w:rsidR="00744876">
        <w:t xml:space="preserve">2 </w:t>
      </w:r>
      <w:r w:rsidRPr="00286277">
        <w:t xml:space="preserve">zákona </w:t>
      </w:r>
      <w:r w:rsidR="00744876">
        <w:t>o dorovnávacích daních</w:t>
      </w:r>
      <w:r w:rsidR="00407AB7">
        <w:t xml:space="preserve"> a související</w:t>
      </w:r>
      <w:r w:rsidR="008A6E46">
        <w:t xml:space="preserve"> </w:t>
      </w:r>
      <w:r w:rsidRPr="00286277">
        <w:t>důvodové zprávě</w:t>
      </w:r>
      <w:r w:rsidR="00F75ADF">
        <w:t>.</w:t>
      </w:r>
    </w:p>
    <w:p w14:paraId="70C16492" w14:textId="77777777" w:rsidR="00B253BE" w:rsidRDefault="00B253BE" w:rsidP="00774E27">
      <w:pPr>
        <w:ind w:firstLine="708"/>
        <w:jc w:val="both"/>
      </w:pPr>
    </w:p>
    <w:p w14:paraId="20FA6904" w14:textId="538BA00A" w:rsidR="00D61935" w:rsidRDefault="00901A56" w:rsidP="000C6982">
      <w:pPr>
        <w:jc w:val="both"/>
      </w:pPr>
      <w:r w:rsidRPr="00286277">
        <w:t>Generální finanční ředitelství</w:t>
      </w:r>
      <w:r w:rsidR="00407AB7">
        <w:t xml:space="preserve"> v této souvislosti</w:t>
      </w:r>
      <w:r w:rsidRPr="00286277">
        <w:t xml:space="preserve"> zvažovalo, zda </w:t>
      </w:r>
      <w:r w:rsidR="00D61935">
        <w:t xml:space="preserve">příslušné </w:t>
      </w:r>
      <w:r w:rsidRPr="00D61935">
        <w:t>materiál</w:t>
      </w:r>
      <w:r w:rsidR="00D61935" w:rsidRPr="00D61935">
        <w:t>y</w:t>
      </w:r>
      <w:r w:rsidRPr="00D61935">
        <w:t xml:space="preserve"> OECD </w:t>
      </w:r>
      <w:r w:rsidR="00D61935" w:rsidRPr="00D61935">
        <w:t>přeložit do češtiny</w:t>
      </w:r>
      <w:r w:rsidR="00D66E15">
        <w:t>,</w:t>
      </w:r>
      <w:r w:rsidR="00D61935" w:rsidRPr="00D61935">
        <w:t xml:space="preserve"> či</w:t>
      </w:r>
      <w:r w:rsidRPr="00D61935">
        <w:t xml:space="preserve"> </w:t>
      </w:r>
      <w:r w:rsidR="00714552">
        <w:t>bude</w:t>
      </w:r>
      <w:r w:rsidR="00D61935" w:rsidRPr="00D61935">
        <w:t xml:space="preserve"> vhodnější pouze odkázat </w:t>
      </w:r>
      <w:r w:rsidRPr="00D61935">
        <w:t>na originál</w:t>
      </w:r>
      <w:r w:rsidR="00D61935" w:rsidRPr="00D61935">
        <w:t>ní znění</w:t>
      </w:r>
      <w:r w:rsidRPr="00D61935">
        <w:t xml:space="preserve"> </w:t>
      </w:r>
      <w:r w:rsidR="00D61935" w:rsidRPr="00D61935">
        <w:t>v anglickém jazyce</w:t>
      </w:r>
      <w:r w:rsidRPr="00D61935">
        <w:t>. Hlavní</w:t>
      </w:r>
      <w:r w:rsidR="00BE7DDD">
        <w:t>m</w:t>
      </w:r>
      <w:r w:rsidRPr="00D61935">
        <w:t xml:space="preserve"> důvod</w:t>
      </w:r>
      <w:r w:rsidR="00BE7DDD">
        <w:t>em</w:t>
      </w:r>
      <w:r w:rsidR="00D61935" w:rsidRPr="000C6982">
        <w:t xml:space="preserve">, proč </w:t>
      </w:r>
      <w:r w:rsidR="00407AB7">
        <w:t xml:space="preserve">nakonec </w:t>
      </w:r>
      <w:r w:rsidR="00E112AF">
        <w:t>nebylo přistoupeno</w:t>
      </w:r>
      <w:r w:rsidR="00D61935" w:rsidRPr="000C6982">
        <w:t xml:space="preserve"> </w:t>
      </w:r>
      <w:r w:rsidR="00E112AF">
        <w:t>k</w:t>
      </w:r>
      <w:r w:rsidR="00407AB7">
        <w:t xml:space="preserve"> jejich </w:t>
      </w:r>
      <w:r w:rsidR="00D61935" w:rsidRPr="000C6982">
        <w:t>překladu,</w:t>
      </w:r>
      <w:r w:rsidR="00BE7DDD">
        <w:t xml:space="preserve"> potažmo </w:t>
      </w:r>
      <w:r w:rsidR="00E112AF">
        <w:t>výkladu</w:t>
      </w:r>
      <w:r w:rsidR="00BE7DDD">
        <w:t>,</w:t>
      </w:r>
      <w:r w:rsidR="00E112AF">
        <w:t xml:space="preserve"> </w:t>
      </w:r>
      <w:r w:rsidR="00BE7DDD">
        <w:t xml:space="preserve">je </w:t>
      </w:r>
      <w:r w:rsidR="00D61935" w:rsidRPr="000C6982">
        <w:t>upřednostnění</w:t>
      </w:r>
      <w:r w:rsidRPr="00D61935">
        <w:t xml:space="preserve"> </w:t>
      </w:r>
      <w:r w:rsidR="00D61935" w:rsidRPr="000C6982">
        <w:t>zájmu na zachování jednoty</w:t>
      </w:r>
      <w:r w:rsidR="00BE7DDD">
        <w:t xml:space="preserve"> a bezrozpornosti</w:t>
      </w:r>
      <w:r w:rsidR="00D61935" w:rsidRPr="000C6982">
        <w:t xml:space="preserve"> </w:t>
      </w:r>
      <w:r w:rsidR="00407AB7">
        <w:t>uplatňování nově zavedených pravidel</w:t>
      </w:r>
      <w:r w:rsidR="00D61935" w:rsidRPr="000C6982">
        <w:t xml:space="preserve"> napříč </w:t>
      </w:r>
      <w:r w:rsidR="00BE7DDD">
        <w:t xml:space="preserve">všemi </w:t>
      </w:r>
      <w:r w:rsidRPr="00D61935">
        <w:t>státy</w:t>
      </w:r>
      <w:r w:rsidR="00D61935" w:rsidRPr="00D61935">
        <w:t xml:space="preserve"> </w:t>
      </w:r>
      <w:r w:rsidR="00BE7DDD" w:rsidRPr="00D61935">
        <w:t>a poplatníky</w:t>
      </w:r>
      <w:r w:rsidR="00407AB7">
        <w:t>.</w:t>
      </w:r>
    </w:p>
    <w:p w14:paraId="5400ABF8" w14:textId="77777777" w:rsidR="00D61935" w:rsidRDefault="00D61935" w:rsidP="00774E27">
      <w:pPr>
        <w:ind w:firstLine="708"/>
        <w:jc w:val="both"/>
      </w:pPr>
    </w:p>
    <w:p w14:paraId="4AB51CA9" w14:textId="03F3CF70" w:rsidR="00901A56" w:rsidRPr="00286277" w:rsidRDefault="00BE7DDD" w:rsidP="000C6982">
      <w:pPr>
        <w:jc w:val="both"/>
      </w:pPr>
      <w:r>
        <w:t>Svou roli při rozhodování sehrál i fakt</w:t>
      </w:r>
      <w:r w:rsidR="00671A88">
        <w:t>, že</w:t>
      </w:r>
      <w:r w:rsidR="00901A56" w:rsidRPr="00286277">
        <w:t xml:space="preserve"> poplatníky </w:t>
      </w:r>
      <w:r w:rsidR="00671A88">
        <w:t>obou</w:t>
      </w:r>
      <w:r w:rsidR="00671A88" w:rsidRPr="00286277">
        <w:t xml:space="preserve"> </w:t>
      </w:r>
      <w:r w:rsidR="00407AB7">
        <w:t>zavedených</w:t>
      </w:r>
      <w:r w:rsidR="00901A56" w:rsidRPr="00286277">
        <w:t xml:space="preserve"> daní jsou členové velkých </w:t>
      </w:r>
      <w:r w:rsidR="00671A88">
        <w:t xml:space="preserve">nadnárodních </w:t>
      </w:r>
      <w:r w:rsidR="00901A56" w:rsidRPr="00286277">
        <w:t>skupin</w:t>
      </w:r>
      <w:r w:rsidR="00671A88">
        <w:t>, jejichž</w:t>
      </w:r>
      <w:r w:rsidR="00901A56" w:rsidRPr="00286277">
        <w:t xml:space="preserve"> obrat přesahuj</w:t>
      </w:r>
      <w:r w:rsidR="00671A88">
        <w:t>e</w:t>
      </w:r>
      <w:r w:rsidR="00901A56" w:rsidRPr="00286277">
        <w:t xml:space="preserve"> 750 mil. E</w:t>
      </w:r>
      <w:r w:rsidR="00671A88">
        <w:t>UR</w:t>
      </w:r>
      <w:r w:rsidR="00407AB7">
        <w:t>.</w:t>
      </w:r>
      <w:r w:rsidR="00901A56" w:rsidRPr="00286277">
        <w:t xml:space="preserve"> </w:t>
      </w:r>
      <w:r w:rsidR="00407AB7">
        <w:t>L</w:t>
      </w:r>
      <w:r>
        <w:t>ze tedy důvodně očekávat, že původní</w:t>
      </w:r>
      <w:r w:rsidR="00D66E15">
        <w:t xml:space="preserve"> cizojazyčné</w:t>
      </w:r>
      <w:r>
        <w:t xml:space="preserve"> </w:t>
      </w:r>
      <w:r w:rsidR="00D66E15">
        <w:t xml:space="preserve">znění dokumentů </w:t>
      </w:r>
      <w:r>
        <w:t xml:space="preserve">pro ně nebude </w:t>
      </w:r>
      <w:r w:rsidR="00E112AF">
        <w:t xml:space="preserve">znamenat </w:t>
      </w:r>
      <w:r>
        <w:t>zásadn</w:t>
      </w:r>
      <w:r w:rsidR="00E112AF">
        <w:t>í</w:t>
      </w:r>
      <w:r>
        <w:t xml:space="preserve"> překážku při vedení </w:t>
      </w:r>
      <w:r w:rsidR="00407AB7">
        <w:t xml:space="preserve">jejich </w:t>
      </w:r>
      <w:r w:rsidR="00671A88">
        <w:t>společn</w:t>
      </w:r>
      <w:r>
        <w:t>ého</w:t>
      </w:r>
      <w:r w:rsidR="00671A88">
        <w:t xml:space="preserve"> dialog</w:t>
      </w:r>
      <w:r>
        <w:t>u</w:t>
      </w:r>
      <w:r w:rsidR="00901A56" w:rsidRPr="00286277">
        <w:t xml:space="preserve"> za účelem dosažení správného </w:t>
      </w:r>
      <w:r>
        <w:t>zdanění.</w:t>
      </w:r>
    </w:p>
    <w:p w14:paraId="0F6316CF" w14:textId="77777777" w:rsidR="00B253BE" w:rsidRDefault="00B253BE" w:rsidP="00774E27">
      <w:pPr>
        <w:ind w:firstLine="708"/>
        <w:jc w:val="both"/>
      </w:pPr>
    </w:p>
    <w:p w14:paraId="2119624D" w14:textId="40CBE4A9" w:rsidR="00901A56" w:rsidRPr="00286277" w:rsidRDefault="00901A56" w:rsidP="000C6982">
      <w:pPr>
        <w:jc w:val="both"/>
      </w:pPr>
      <w:r w:rsidRPr="00286277">
        <w:t>Generální finanční ředitelství si</w:t>
      </w:r>
      <w:r w:rsidR="00E112AF">
        <w:t xml:space="preserve"> </w:t>
      </w:r>
      <w:r w:rsidR="00407AB7" w:rsidRPr="00286277">
        <w:t xml:space="preserve">je </w:t>
      </w:r>
      <w:r w:rsidR="00E112AF">
        <w:t>navzdory zvolenému přístupu</w:t>
      </w:r>
      <w:r w:rsidRPr="00286277">
        <w:t xml:space="preserve"> vědomo </w:t>
      </w:r>
      <w:r w:rsidR="00407AB7">
        <w:t>případných</w:t>
      </w:r>
      <w:r w:rsidR="00E112AF">
        <w:t xml:space="preserve"> </w:t>
      </w:r>
      <w:r w:rsidRPr="00286277">
        <w:t>problémů</w:t>
      </w:r>
      <w:r w:rsidR="00E112AF">
        <w:t>, kter</w:t>
      </w:r>
      <w:r w:rsidR="00407AB7">
        <w:t>é</w:t>
      </w:r>
      <w:r w:rsidR="00E112AF">
        <w:t xml:space="preserve"> mohou vyvstat</w:t>
      </w:r>
      <w:r w:rsidRPr="00286277">
        <w:t xml:space="preserve"> </w:t>
      </w:r>
      <w:r w:rsidR="00E112AF">
        <w:t>při zavádění</w:t>
      </w:r>
      <w:r w:rsidRPr="00286277">
        <w:t> </w:t>
      </w:r>
      <w:r w:rsidR="00E112AF">
        <w:t>n</w:t>
      </w:r>
      <w:r w:rsidRPr="00286277">
        <w:t xml:space="preserve">ových pravidel, a proto </w:t>
      </w:r>
      <w:r w:rsidR="00E112AF">
        <w:t>bude i nadále</w:t>
      </w:r>
      <w:r w:rsidRPr="00286277">
        <w:t xml:space="preserve"> poskyt</w:t>
      </w:r>
      <w:r w:rsidR="00E112AF">
        <w:t>ovat</w:t>
      </w:r>
      <w:r w:rsidRPr="00286277">
        <w:t xml:space="preserve"> metodick</w:t>
      </w:r>
      <w:r w:rsidR="00E112AF">
        <w:t>ou</w:t>
      </w:r>
      <w:r w:rsidRPr="00286277">
        <w:t xml:space="preserve"> podpor</w:t>
      </w:r>
      <w:r w:rsidR="00E112AF">
        <w:t>u formou</w:t>
      </w:r>
      <w:r w:rsidRPr="00286277">
        <w:t xml:space="preserve"> </w:t>
      </w:r>
      <w:r w:rsidR="00E112AF">
        <w:t>odborných</w:t>
      </w:r>
      <w:r w:rsidRPr="00286277">
        <w:t xml:space="preserve"> </w:t>
      </w:r>
      <w:r w:rsidR="00E112AF">
        <w:t>setkání</w:t>
      </w:r>
      <w:r w:rsidR="00E112AF" w:rsidRPr="00286277">
        <w:t xml:space="preserve"> </w:t>
      </w:r>
      <w:r w:rsidRPr="00286277">
        <w:t xml:space="preserve">se zástupci </w:t>
      </w:r>
      <w:r w:rsidR="00E112AF">
        <w:t xml:space="preserve">poplatníků a představiteli příslušných profesních organizací. </w:t>
      </w:r>
      <w:r w:rsidR="00407AB7">
        <w:t>Současně se dá očekávat, že z</w:t>
      </w:r>
      <w:r w:rsidR="00E112AF">
        <w:t xml:space="preserve">pětná vazba z těchto jednání bude </w:t>
      </w:r>
      <w:r w:rsidR="00407AB7">
        <w:t>využita</w:t>
      </w:r>
      <w:r w:rsidR="00E112AF">
        <w:t xml:space="preserve"> </w:t>
      </w:r>
      <w:r w:rsidR="00407AB7">
        <w:t>jak</w:t>
      </w:r>
      <w:r w:rsidR="00E112AF">
        <w:t xml:space="preserve"> </w:t>
      </w:r>
      <w:r w:rsidR="00407AB7">
        <w:t>v lokálních podmínkách</w:t>
      </w:r>
      <w:r w:rsidR="00E112AF">
        <w:t xml:space="preserve">, </w:t>
      </w:r>
      <w:r w:rsidR="00407AB7">
        <w:t xml:space="preserve">tak </w:t>
      </w:r>
      <w:r w:rsidR="00714552">
        <w:t>na nadnárodní úrovni v případě</w:t>
      </w:r>
      <w:r w:rsidR="00407AB7">
        <w:t xml:space="preserve"> podnět</w:t>
      </w:r>
      <w:r w:rsidR="00714552">
        <w:t>ů</w:t>
      </w:r>
      <w:r w:rsidR="00407AB7">
        <w:t xml:space="preserve"> zásadnějšího významu</w:t>
      </w:r>
      <w:r w:rsidR="00E112AF">
        <w:t xml:space="preserve">.  </w:t>
      </w:r>
      <w:r w:rsidR="009B34E9" w:rsidRPr="00286277">
        <w:t xml:space="preserve"> </w:t>
      </w:r>
    </w:p>
    <w:p w14:paraId="67B25917" w14:textId="77777777" w:rsidR="00771E05" w:rsidRDefault="00771E05" w:rsidP="00771E05">
      <w:pPr>
        <w:jc w:val="both"/>
      </w:pPr>
    </w:p>
    <w:p w14:paraId="1C3AC9D8" w14:textId="77777777" w:rsidR="00B253BE" w:rsidRPr="00286277" w:rsidRDefault="00B253BE" w:rsidP="00771E05">
      <w:pPr>
        <w:jc w:val="both"/>
      </w:pPr>
    </w:p>
    <w:p w14:paraId="20A7EA2B" w14:textId="679E01E2" w:rsidR="00771E05" w:rsidRPr="00286277" w:rsidRDefault="00E112AF" w:rsidP="000C6982">
      <w:pPr>
        <w:spacing w:after="120"/>
      </w:pPr>
      <w:r>
        <w:t>Všechny</w:t>
      </w:r>
      <w:r w:rsidRPr="00286277">
        <w:t xml:space="preserve"> </w:t>
      </w:r>
      <w:r>
        <w:t>dokumenty, které</w:t>
      </w:r>
      <w:r w:rsidR="00771E05" w:rsidRPr="00286277">
        <w:t xml:space="preserve"> OECD</w:t>
      </w:r>
      <w:r>
        <w:t xml:space="preserve"> vydalo</w:t>
      </w:r>
      <w:r w:rsidR="00771E05" w:rsidRPr="00286277">
        <w:t xml:space="preserve"> k dorovnávacím daním</w:t>
      </w:r>
      <w:r>
        <w:t>,</w:t>
      </w:r>
      <w:r w:rsidR="00771E05" w:rsidRPr="00286277">
        <w:t xml:space="preserve"> jsou dostupné zde:</w:t>
      </w:r>
    </w:p>
    <w:p w14:paraId="64CF2585" w14:textId="77777777" w:rsidR="00771E05" w:rsidRPr="00286277" w:rsidRDefault="00000000" w:rsidP="00771E05">
      <w:hyperlink r:id="rId5" w:history="1">
        <w:r w:rsidR="00771E05" w:rsidRPr="00286277">
          <w:rPr>
            <w:rStyle w:val="Hypertextovodkaz"/>
          </w:rPr>
          <w:t xml:space="preserve">Tax </w:t>
        </w:r>
        <w:proofErr w:type="spellStart"/>
        <w:r w:rsidR="00771E05" w:rsidRPr="00286277">
          <w:rPr>
            <w:rStyle w:val="Hypertextovodkaz"/>
          </w:rPr>
          <w:t>Challenges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Arising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from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the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Digitalisation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of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the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Economy</w:t>
        </w:r>
        <w:proofErr w:type="spellEnd"/>
        <w:r w:rsidR="00771E05" w:rsidRPr="00286277">
          <w:rPr>
            <w:rStyle w:val="Hypertextovodkaz"/>
          </w:rPr>
          <w:t xml:space="preserve"> – </w:t>
        </w:r>
        <w:proofErr w:type="spellStart"/>
        <w:r w:rsidR="00771E05" w:rsidRPr="00286277">
          <w:rPr>
            <w:rStyle w:val="Hypertextovodkaz"/>
          </w:rPr>
          <w:t>Global</w:t>
        </w:r>
        <w:proofErr w:type="spellEnd"/>
        <w:r w:rsidR="00771E05" w:rsidRPr="00286277">
          <w:rPr>
            <w:rStyle w:val="Hypertextovodkaz"/>
          </w:rPr>
          <w:t xml:space="preserve"> Anti-Base </w:t>
        </w:r>
        <w:proofErr w:type="spellStart"/>
        <w:r w:rsidR="00771E05" w:rsidRPr="00286277">
          <w:rPr>
            <w:rStyle w:val="Hypertextovodkaz"/>
          </w:rPr>
          <w:t>Erosion</w:t>
        </w:r>
        <w:proofErr w:type="spellEnd"/>
        <w:r w:rsidR="00771E05" w:rsidRPr="00286277">
          <w:rPr>
            <w:rStyle w:val="Hypertextovodkaz"/>
          </w:rPr>
          <w:t xml:space="preserve"> Model </w:t>
        </w:r>
        <w:proofErr w:type="spellStart"/>
        <w:r w:rsidR="00771E05" w:rsidRPr="00286277">
          <w:rPr>
            <w:rStyle w:val="Hypertextovodkaz"/>
          </w:rPr>
          <w:t>Rules</w:t>
        </w:r>
        <w:proofErr w:type="spellEnd"/>
        <w:r w:rsidR="00771E05" w:rsidRPr="00286277">
          <w:rPr>
            <w:rStyle w:val="Hypertextovodkaz"/>
          </w:rPr>
          <w:t xml:space="preserve"> (</w:t>
        </w:r>
        <w:proofErr w:type="spellStart"/>
        <w:r w:rsidR="00771E05" w:rsidRPr="00286277">
          <w:rPr>
            <w:rStyle w:val="Hypertextovodkaz"/>
          </w:rPr>
          <w:t>Pillar</w:t>
        </w:r>
        <w:proofErr w:type="spellEnd"/>
        <w:r w:rsidR="00771E05" w:rsidRPr="00286277">
          <w:rPr>
            <w:rStyle w:val="Hypertextovodkaz"/>
          </w:rPr>
          <w:t xml:space="preserve"> </w:t>
        </w:r>
        <w:proofErr w:type="spellStart"/>
        <w:r w:rsidR="00771E05" w:rsidRPr="00286277">
          <w:rPr>
            <w:rStyle w:val="Hypertextovodkaz"/>
          </w:rPr>
          <w:t>Two</w:t>
        </w:r>
        <w:proofErr w:type="spellEnd"/>
        <w:r w:rsidR="00771E05" w:rsidRPr="00286277">
          <w:rPr>
            <w:rStyle w:val="Hypertextovodkaz"/>
          </w:rPr>
          <w:t>) - OECD</w:t>
        </w:r>
      </w:hyperlink>
    </w:p>
    <w:p w14:paraId="79DF5E77" w14:textId="77777777" w:rsidR="00771E05" w:rsidRPr="00286277" w:rsidRDefault="00771E05" w:rsidP="00771E05"/>
    <w:p w14:paraId="5EEFA8AE" w14:textId="77777777" w:rsidR="00771E05" w:rsidRDefault="00771E05" w:rsidP="00771E05">
      <w:pPr>
        <w:jc w:val="both"/>
      </w:pPr>
    </w:p>
    <w:p w14:paraId="70D45424" w14:textId="77777777" w:rsidR="00B253BE" w:rsidRDefault="00B253BE" w:rsidP="00771E05">
      <w:pPr>
        <w:jc w:val="both"/>
      </w:pPr>
    </w:p>
    <w:p w14:paraId="2E61D938" w14:textId="77777777" w:rsidR="00B253BE" w:rsidRDefault="00B253BE" w:rsidP="00771E05">
      <w:pPr>
        <w:jc w:val="both"/>
      </w:pPr>
    </w:p>
    <w:p w14:paraId="65DCF4D1" w14:textId="77777777" w:rsidR="00AA004F" w:rsidRPr="00286277" w:rsidRDefault="00AA004F" w:rsidP="000C6982"/>
    <w:sectPr w:rsidR="00AA004F" w:rsidRPr="0028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56"/>
    <w:rsid w:val="000453D4"/>
    <w:rsid w:val="000C6982"/>
    <w:rsid w:val="001A185B"/>
    <w:rsid w:val="00286277"/>
    <w:rsid w:val="0032179E"/>
    <w:rsid w:val="003702AD"/>
    <w:rsid w:val="00407AB7"/>
    <w:rsid w:val="00460D76"/>
    <w:rsid w:val="004B507F"/>
    <w:rsid w:val="004C2D04"/>
    <w:rsid w:val="004E445F"/>
    <w:rsid w:val="005A2410"/>
    <w:rsid w:val="00671A88"/>
    <w:rsid w:val="007123F6"/>
    <w:rsid w:val="00714552"/>
    <w:rsid w:val="00744876"/>
    <w:rsid w:val="00771E05"/>
    <w:rsid w:val="00774E27"/>
    <w:rsid w:val="007C6114"/>
    <w:rsid w:val="00870F0F"/>
    <w:rsid w:val="00885903"/>
    <w:rsid w:val="00885ACA"/>
    <w:rsid w:val="008A05A2"/>
    <w:rsid w:val="008A6E46"/>
    <w:rsid w:val="00901A56"/>
    <w:rsid w:val="0097399D"/>
    <w:rsid w:val="009B34E9"/>
    <w:rsid w:val="00AA004F"/>
    <w:rsid w:val="00AA5C35"/>
    <w:rsid w:val="00B253BE"/>
    <w:rsid w:val="00BA1680"/>
    <w:rsid w:val="00BE7DDD"/>
    <w:rsid w:val="00D61935"/>
    <w:rsid w:val="00D6290A"/>
    <w:rsid w:val="00D66E15"/>
    <w:rsid w:val="00E112AF"/>
    <w:rsid w:val="00F67083"/>
    <w:rsid w:val="00F75ADF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C191"/>
  <w15:chartTrackingRefBased/>
  <w15:docId w15:val="{C220E773-6F27-458C-BEEC-E371449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A5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01A56"/>
    <w:pPr>
      <w:spacing w:after="0" w:line="240" w:lineRule="auto"/>
    </w:pPr>
    <w:rPr>
      <w:rFonts w:ascii="Calibri" w:hAnsi="Calibri" w:cs="Calibri"/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85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5A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5ACA"/>
    <w:rPr>
      <w:rFonts w:ascii="Calibri" w:hAnsi="Calibri" w:cs="Calibri"/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ACA"/>
    <w:rPr>
      <w:rFonts w:ascii="Calibri" w:hAnsi="Calibri" w:cs="Calibri"/>
      <w:b/>
      <w:bCs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71E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ecd.org/tax/beps/tax-challenges-arising-from-the-digitalisation-of-the-economy-global-anti-base-erosion-model-rules-pillar-tw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3971-EDEC-4CC1-ADAB-E84E5D7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Jan Ing. (GFŘ)</dc:creator>
  <cp:keywords/>
  <dc:description/>
  <cp:lastModifiedBy>Svoboda Jan Ing. (GFŘ)</cp:lastModifiedBy>
  <cp:revision>2</cp:revision>
  <cp:lastPrinted>2024-05-20T15:55:00Z</cp:lastPrinted>
  <dcterms:created xsi:type="dcterms:W3CDTF">2024-06-13T05:03:00Z</dcterms:created>
  <dcterms:modified xsi:type="dcterms:W3CDTF">2024-06-13T05:03:00Z</dcterms:modified>
</cp:coreProperties>
</file>