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2D" w:rsidRPr="00343680" w:rsidRDefault="00AC612D" w:rsidP="00AC612D">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047F98" w:rsidRDefault="00AC612D" w:rsidP="00AC612D">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Pr>
          <w:rFonts w:ascii="Arial" w:hAnsi="Arial" w:cs="Arial"/>
          <w:b/>
          <w:caps/>
          <w:u w:val="single"/>
          <w:lang w:val="cs-CZ"/>
        </w:rPr>
        <w:t>24.</w:t>
      </w:r>
      <w:r w:rsidR="00442D90">
        <w:rPr>
          <w:rFonts w:ascii="Arial" w:hAnsi="Arial" w:cs="Arial"/>
          <w:b/>
          <w:caps/>
          <w:u w:val="single"/>
          <w:lang w:val="cs-CZ"/>
        </w:rPr>
        <w:t xml:space="preserve"> </w:t>
      </w:r>
      <w:r>
        <w:rPr>
          <w:rFonts w:ascii="Arial" w:hAnsi="Arial" w:cs="Arial"/>
          <w:b/>
          <w:caps/>
          <w:u w:val="single"/>
          <w:lang w:val="cs-CZ"/>
        </w:rPr>
        <w:t>11. 2021</w:t>
      </w:r>
      <w:r w:rsidR="00B9271F" w:rsidRPr="00C46D59">
        <w:rPr>
          <w:rFonts w:ascii="Arial" w:hAnsi="Arial" w:cs="Arial"/>
          <w:lang w:val="cs-CZ"/>
        </w:rPr>
        <w:tab/>
      </w:r>
    </w:p>
    <w:p w:rsidR="00B20AEB" w:rsidRPr="00740DF9" w:rsidRDefault="00B20AEB" w:rsidP="00C0559A">
      <w:pPr>
        <w:rPr>
          <w:rFonts w:ascii="Arial" w:hAnsi="Arial" w:cs="Arial"/>
          <w:b/>
          <w:lang w:val="cs-CZ"/>
        </w:rPr>
      </w:pPr>
    </w:p>
    <w:p w:rsidR="00B3013A" w:rsidRDefault="00B3013A" w:rsidP="00B3013A">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235843" w:rsidRDefault="00B3013A" w:rsidP="00C0559A">
      <w:pPr>
        <w:pStyle w:val="Zkladntext"/>
        <w:spacing w:after="0"/>
        <w:jc w:val="both"/>
        <w:rPr>
          <w:rFonts w:ascii="Arial" w:hAnsi="Arial" w:cs="Arial"/>
          <w:b/>
          <w:sz w:val="22"/>
          <w:szCs w:val="22"/>
          <w:u w:val="single"/>
        </w:rPr>
      </w:pPr>
      <w:r w:rsidRPr="00B3013A">
        <w:rPr>
          <w:rFonts w:ascii="Arial" w:hAnsi="Arial" w:cs="Arial"/>
          <w:b/>
          <w:sz w:val="22"/>
          <w:szCs w:val="22"/>
          <w:u w:val="single"/>
        </w:rPr>
        <w:t>Daň z</w:t>
      </w:r>
      <w:r>
        <w:rPr>
          <w:rFonts w:ascii="Arial" w:hAnsi="Arial" w:cs="Arial"/>
          <w:b/>
          <w:sz w:val="22"/>
          <w:szCs w:val="22"/>
          <w:u w:val="single"/>
        </w:rPr>
        <w:t> </w:t>
      </w:r>
      <w:r w:rsidRPr="00B3013A">
        <w:rPr>
          <w:rFonts w:ascii="Arial" w:hAnsi="Arial" w:cs="Arial"/>
          <w:b/>
          <w:sz w:val="22"/>
          <w:szCs w:val="22"/>
          <w:u w:val="single"/>
        </w:rPr>
        <w:t>příjmů</w:t>
      </w:r>
    </w:p>
    <w:p w:rsidR="00263379" w:rsidRPr="00F74466" w:rsidRDefault="00263379" w:rsidP="00C0559A">
      <w:pPr>
        <w:pStyle w:val="Zkladntext"/>
        <w:spacing w:after="0"/>
        <w:jc w:val="both"/>
        <w:rPr>
          <w:rFonts w:ascii="Arial" w:hAnsi="Arial" w:cs="Arial"/>
          <w:b/>
          <w:color w:val="000000"/>
          <w:shd w:val="clear" w:color="auto" w:fill="FFFFFF"/>
        </w:rPr>
      </w:pPr>
      <w:r w:rsidRPr="00F74466">
        <w:rPr>
          <w:rFonts w:ascii="Arial" w:hAnsi="Arial" w:cs="Arial"/>
          <w:b/>
          <w:sz w:val="22"/>
          <w:szCs w:val="22"/>
        </w:rPr>
        <w:t>PŘÍSPĚVEK V ČÁSTI II. VKLAD CENNÝCH PAPÍRŮ a PODÍLŮ, NEPROJEDNÁN</w:t>
      </w:r>
    </w:p>
    <w:p w:rsidR="00263379" w:rsidRDefault="00263379" w:rsidP="00C0559A">
      <w:pPr>
        <w:pStyle w:val="Zkladntext"/>
        <w:spacing w:after="0"/>
        <w:jc w:val="both"/>
        <w:rPr>
          <w:rFonts w:ascii="Arial" w:hAnsi="Arial" w:cs="Arial"/>
          <w:b/>
          <w:color w:val="000000"/>
          <w:shd w:val="clear" w:color="auto" w:fill="FFFFFF"/>
        </w:rPr>
      </w:pPr>
    </w:p>
    <w:p w:rsidR="00263379" w:rsidRPr="00740DF9" w:rsidRDefault="00263379" w:rsidP="00C0559A">
      <w:pPr>
        <w:pStyle w:val="Zkladntext"/>
        <w:spacing w:after="0"/>
        <w:jc w:val="both"/>
        <w:rPr>
          <w:rFonts w:ascii="Arial" w:hAnsi="Arial" w:cs="Arial"/>
          <w:b/>
          <w:color w:val="000000"/>
          <w:shd w:val="clear" w:color="auto" w:fill="FFFFFF"/>
        </w:rPr>
      </w:pPr>
      <w:r w:rsidRPr="00740DF9">
        <w:rPr>
          <w:rFonts w:ascii="Arial" w:hAnsi="Arial" w:cs="Arial"/>
          <w:b/>
          <w:color w:val="000000"/>
          <w:shd w:val="clear" w:color="auto" w:fill="FFFFFF"/>
        </w:rPr>
        <w:t>573/24.03.21</w:t>
      </w:r>
      <w:r w:rsidRPr="00740DF9">
        <w:rPr>
          <w:rFonts w:ascii="Arial" w:hAnsi="Arial" w:cs="Arial"/>
          <w:color w:val="000000"/>
          <w:shd w:val="clear" w:color="auto" w:fill="FFFFFF"/>
        </w:rPr>
        <w:t xml:space="preserve"> </w:t>
      </w:r>
      <w:r w:rsidRPr="00740DF9">
        <w:rPr>
          <w:rFonts w:ascii="Arial" w:hAnsi="Arial" w:cs="Arial"/>
          <w:b/>
          <w:color w:val="000000"/>
          <w:shd w:val="clear" w:color="auto" w:fill="FFFFFF"/>
        </w:rPr>
        <w:t xml:space="preserve">Vstupní cena hmotného a nehmotného majetku, nabývací cena cenných papírů a obchodních podílů a daňově uznatelné náklady u ostatního majetku evidovaného u přijímajícího poplatníka ………………………………….… </w:t>
      </w:r>
      <w:r>
        <w:rPr>
          <w:rFonts w:ascii="Arial" w:hAnsi="Arial" w:cs="Arial"/>
          <w:b/>
          <w:color w:val="000000"/>
          <w:shd w:val="clear" w:color="auto" w:fill="FFFFFF"/>
        </w:rPr>
        <w:t>2</w:t>
      </w:r>
    </w:p>
    <w:p w:rsidR="00263379" w:rsidRPr="00740DF9" w:rsidRDefault="00263379" w:rsidP="00C0559A">
      <w:pPr>
        <w:pStyle w:val="Zkladntext"/>
        <w:spacing w:after="0"/>
        <w:jc w:val="both"/>
        <w:rPr>
          <w:rFonts w:ascii="Arial" w:hAnsi="Arial" w:cs="Arial"/>
          <w:color w:val="000000"/>
          <w:shd w:val="clear" w:color="auto" w:fill="FFFFFF"/>
        </w:rPr>
      </w:pPr>
      <w:r w:rsidRPr="00740DF9">
        <w:rPr>
          <w:rFonts w:ascii="Arial" w:hAnsi="Arial" w:cs="Arial"/>
          <w:color w:val="000000"/>
          <w:shd w:val="clear" w:color="auto" w:fill="FFFFFF"/>
        </w:rPr>
        <w:t>Předkládají:</w:t>
      </w:r>
      <w:r w:rsidRPr="00740DF9">
        <w:rPr>
          <w:rFonts w:ascii="Arial" w:hAnsi="Arial" w:cs="Arial"/>
          <w:color w:val="000000"/>
          <w:shd w:val="clear" w:color="auto" w:fill="FFFFFF"/>
        </w:rPr>
        <w:tab/>
        <w:t>Ing. Jan Kotala, daňový poradce, č. osv. 4515</w:t>
      </w:r>
    </w:p>
    <w:p w:rsidR="00263379" w:rsidRPr="00740DF9" w:rsidRDefault="00263379" w:rsidP="00C0559A">
      <w:pPr>
        <w:pStyle w:val="Zkladntext"/>
        <w:spacing w:after="0"/>
        <w:ind w:left="708" w:firstLine="708"/>
        <w:jc w:val="both"/>
        <w:rPr>
          <w:rFonts w:ascii="Arial" w:hAnsi="Arial" w:cs="Arial"/>
          <w:color w:val="000000"/>
          <w:shd w:val="clear" w:color="auto" w:fill="FFFFFF"/>
        </w:rPr>
      </w:pPr>
      <w:r w:rsidRPr="00740DF9">
        <w:rPr>
          <w:rFonts w:ascii="Arial" w:hAnsi="Arial" w:cs="Arial"/>
          <w:color w:val="000000"/>
          <w:shd w:val="clear" w:color="auto" w:fill="FFFFFF"/>
        </w:rPr>
        <w:t xml:space="preserve">Mgr. Zenon Folwarczny, </w:t>
      </w:r>
      <w:proofErr w:type="gramStart"/>
      <w:r w:rsidRPr="00740DF9">
        <w:rPr>
          <w:rFonts w:ascii="Arial" w:hAnsi="Arial" w:cs="Arial"/>
          <w:color w:val="000000"/>
          <w:shd w:val="clear" w:color="auto" w:fill="FFFFFF"/>
        </w:rPr>
        <w:t>LL.M.</w:t>
      </w:r>
      <w:proofErr w:type="gramEnd"/>
      <w:r w:rsidRPr="00740DF9">
        <w:rPr>
          <w:rFonts w:ascii="Arial" w:hAnsi="Arial" w:cs="Arial"/>
          <w:color w:val="000000"/>
          <w:shd w:val="clear" w:color="auto" w:fill="FFFFFF"/>
        </w:rPr>
        <w:t>, daňový poradce, č. osv. 3661</w:t>
      </w:r>
    </w:p>
    <w:p w:rsidR="00263379" w:rsidRDefault="00263379" w:rsidP="00C0559A">
      <w:pPr>
        <w:pStyle w:val="Zkladntext"/>
        <w:spacing w:after="0"/>
        <w:ind w:left="708" w:firstLine="708"/>
        <w:jc w:val="both"/>
        <w:rPr>
          <w:rFonts w:ascii="Arial" w:hAnsi="Arial" w:cs="Arial"/>
          <w:color w:val="000000"/>
          <w:shd w:val="clear" w:color="auto" w:fill="FFFFFF"/>
        </w:rPr>
      </w:pPr>
      <w:r w:rsidRPr="00740DF9">
        <w:rPr>
          <w:rFonts w:ascii="Arial" w:hAnsi="Arial" w:cs="Arial"/>
          <w:color w:val="000000"/>
          <w:shd w:val="clear" w:color="auto" w:fill="FFFFFF"/>
        </w:rPr>
        <w:t>Ing. Bc. Jiří Nesrovnal, daňový poradce, č. osv. 1757</w:t>
      </w:r>
    </w:p>
    <w:p w:rsidR="00B3013A" w:rsidRPr="00327CE7" w:rsidRDefault="00B3013A" w:rsidP="00B3013A">
      <w:pPr>
        <w:pStyle w:val="Zkladntext"/>
        <w:jc w:val="both"/>
        <w:rPr>
          <w:rFonts w:ascii="Arial" w:hAnsi="Arial" w:cs="Arial"/>
          <w:color w:val="FF0000"/>
          <w:shd w:val="clear" w:color="auto" w:fill="FFFFFF"/>
        </w:rPr>
      </w:pPr>
      <w:r w:rsidRPr="00327CE7">
        <w:rPr>
          <w:rFonts w:ascii="Arial" w:hAnsi="Arial" w:cs="Arial"/>
          <w:color w:val="FF0000"/>
          <w:shd w:val="clear" w:color="auto" w:fill="FFFFFF"/>
        </w:rPr>
        <w:t>Příspěvek č. 573, neuzavřen, na žádost předkladatele bude opětovně upraven text příspěvku a příspěvek bude předložen a projednán na jednání v 01/2022.</w:t>
      </w:r>
    </w:p>
    <w:p w:rsidR="00263379" w:rsidRDefault="00263379" w:rsidP="00C0559A">
      <w:pPr>
        <w:rPr>
          <w:rFonts w:ascii="Arial" w:hAnsi="Arial" w:cs="Arial"/>
          <w:b/>
          <w:sz w:val="22"/>
          <w:szCs w:val="22"/>
          <w:u w:val="single"/>
          <w:lang w:val="cs-CZ"/>
        </w:rPr>
      </w:pPr>
    </w:p>
    <w:p w:rsidR="00822E0F" w:rsidRPr="004156A6" w:rsidRDefault="00822E0F" w:rsidP="00822E0F">
      <w:pPr>
        <w:jc w:val="both"/>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t>PŘÍSPĚVEK</w:t>
      </w:r>
      <w:r w:rsidRPr="004156A6">
        <w:rPr>
          <w:rFonts w:ascii="Arial" w:hAnsi="Arial" w:cs="Arial"/>
          <w:b/>
          <w:sz w:val="30"/>
          <w:szCs w:val="30"/>
          <w:highlight w:val="yellow"/>
          <w:u w:val="single"/>
          <w:lang w:val="cs-CZ" w:eastAsia="cs-CZ"/>
        </w:rPr>
        <w:t xml:space="preserve"> UZAVŘEN </w:t>
      </w:r>
      <w:r>
        <w:rPr>
          <w:rFonts w:ascii="Arial" w:hAnsi="Arial" w:cs="Arial"/>
          <w:b/>
          <w:sz w:val="30"/>
          <w:szCs w:val="30"/>
          <w:highlight w:val="yellow"/>
          <w:u w:val="single"/>
          <w:lang w:val="cs-CZ" w:eastAsia="cs-CZ"/>
        </w:rPr>
        <w:t>BEZ ROZPORU</w:t>
      </w:r>
      <w:r w:rsidRPr="004156A6">
        <w:rPr>
          <w:rFonts w:ascii="Arial" w:hAnsi="Arial" w:cs="Arial"/>
          <w:b/>
          <w:sz w:val="30"/>
          <w:szCs w:val="30"/>
          <w:highlight w:val="yellow"/>
          <w:u w:val="single"/>
          <w:lang w:val="cs-CZ" w:eastAsia="cs-CZ"/>
        </w:rPr>
        <w:t xml:space="preserve"> KE DNI </w:t>
      </w:r>
      <w:proofErr w:type="gramStart"/>
      <w:r>
        <w:rPr>
          <w:rFonts w:ascii="Arial" w:hAnsi="Arial" w:cs="Arial"/>
          <w:b/>
          <w:sz w:val="30"/>
          <w:szCs w:val="30"/>
          <w:highlight w:val="yellow"/>
          <w:u w:val="single"/>
          <w:lang w:val="cs-CZ" w:eastAsia="cs-CZ"/>
        </w:rPr>
        <w:t>24.11.</w:t>
      </w:r>
      <w:r w:rsidRPr="004156A6">
        <w:rPr>
          <w:rFonts w:ascii="Arial" w:hAnsi="Arial" w:cs="Arial"/>
          <w:b/>
          <w:sz w:val="30"/>
          <w:szCs w:val="30"/>
          <w:highlight w:val="yellow"/>
          <w:u w:val="single"/>
          <w:lang w:val="cs-CZ" w:eastAsia="cs-CZ"/>
        </w:rPr>
        <w:t>2021</w:t>
      </w:r>
      <w:proofErr w:type="gramEnd"/>
    </w:p>
    <w:p w:rsidR="00F74466" w:rsidRDefault="00F74466" w:rsidP="00C0559A">
      <w:pP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F74466" w:rsidRDefault="00341E5A" w:rsidP="00C0559A">
      <w:pPr>
        <w:pStyle w:val="Zkladntext"/>
        <w:spacing w:after="0"/>
        <w:jc w:val="both"/>
        <w:rPr>
          <w:rFonts w:ascii="Arial" w:hAnsi="Arial" w:cs="Arial"/>
          <w:b/>
          <w:shd w:val="clear" w:color="auto" w:fill="FFFFFF"/>
        </w:rPr>
      </w:pPr>
      <w:r>
        <w:rPr>
          <w:rFonts w:ascii="Arial" w:hAnsi="Arial" w:cs="Arial"/>
          <w:b/>
          <w:shd w:val="clear" w:color="auto" w:fill="FFFFFF"/>
        </w:rPr>
        <w:t>586/15.09.</w:t>
      </w:r>
      <w:r w:rsidR="00F74466">
        <w:rPr>
          <w:rFonts w:ascii="Arial" w:hAnsi="Arial" w:cs="Arial"/>
          <w:b/>
          <w:shd w:val="clear" w:color="auto" w:fill="FFFFFF"/>
        </w:rPr>
        <w:t xml:space="preserve">21 </w:t>
      </w:r>
      <w:r w:rsidR="00F74466" w:rsidRPr="00D373B7">
        <w:rPr>
          <w:rFonts w:ascii="Arial" w:hAnsi="Arial" w:cs="Arial"/>
          <w:b/>
          <w:shd w:val="clear" w:color="auto" w:fill="FFFFFF"/>
        </w:rPr>
        <w:t>Oprava základu daně při zpětných platbách zdravotním pojišťovnám</w:t>
      </w:r>
      <w:r w:rsidR="00F74466">
        <w:rPr>
          <w:rFonts w:ascii="Arial" w:hAnsi="Arial" w:cs="Arial"/>
          <w:b/>
          <w:shd w:val="clear" w:color="auto" w:fill="FFFFFF"/>
        </w:rPr>
        <w:t xml:space="preserve"> …</w:t>
      </w:r>
      <w:r w:rsidR="00912A04">
        <w:rPr>
          <w:rFonts w:ascii="Arial" w:hAnsi="Arial" w:cs="Arial"/>
          <w:b/>
          <w:shd w:val="clear" w:color="auto" w:fill="FFFFFF"/>
        </w:rPr>
        <w:t>…………………………………………………………………………</w:t>
      </w:r>
      <w:proofErr w:type="gramStart"/>
      <w:r w:rsidR="00912A04">
        <w:rPr>
          <w:rFonts w:ascii="Arial" w:hAnsi="Arial" w:cs="Arial"/>
          <w:b/>
          <w:shd w:val="clear" w:color="auto" w:fill="FFFFFF"/>
        </w:rPr>
        <w:t>…</w:t>
      </w:r>
      <w:r w:rsidR="00327CE7">
        <w:rPr>
          <w:rFonts w:ascii="Arial" w:hAnsi="Arial" w:cs="Arial"/>
          <w:b/>
          <w:shd w:val="clear" w:color="auto" w:fill="FFFFFF"/>
        </w:rPr>
        <w:t>..</w:t>
      </w:r>
      <w:r w:rsidR="00912A04">
        <w:rPr>
          <w:rFonts w:ascii="Arial" w:hAnsi="Arial" w:cs="Arial"/>
          <w:b/>
          <w:shd w:val="clear" w:color="auto" w:fill="FFFFFF"/>
        </w:rPr>
        <w:t xml:space="preserve"> </w:t>
      </w:r>
      <w:r w:rsidR="004E42AF">
        <w:rPr>
          <w:rFonts w:ascii="Arial" w:hAnsi="Arial" w:cs="Arial"/>
          <w:b/>
          <w:shd w:val="clear" w:color="auto" w:fill="FFFFFF"/>
        </w:rPr>
        <w:t>6</w:t>
      </w:r>
      <w:proofErr w:type="gramEnd"/>
    </w:p>
    <w:p w:rsidR="00F74466" w:rsidRDefault="00341E5A" w:rsidP="00C0559A">
      <w:pPr>
        <w:pStyle w:val="Zkladntext"/>
        <w:spacing w:after="0"/>
        <w:jc w:val="both"/>
        <w:rPr>
          <w:rFonts w:ascii="Arial" w:hAnsi="Arial" w:cs="Arial"/>
          <w:shd w:val="clear" w:color="auto" w:fill="FFFFFF"/>
        </w:rPr>
      </w:pPr>
      <w:r>
        <w:rPr>
          <w:rFonts w:ascii="Arial" w:hAnsi="Arial" w:cs="Arial"/>
          <w:shd w:val="clear" w:color="auto" w:fill="FFFFFF"/>
        </w:rPr>
        <w:t>Předkládají</w:t>
      </w:r>
      <w:r w:rsidR="00F74466">
        <w:rPr>
          <w:rFonts w:ascii="Arial" w:hAnsi="Arial" w:cs="Arial"/>
          <w:shd w:val="clear" w:color="auto" w:fill="FFFFFF"/>
        </w:rPr>
        <w:t>:</w:t>
      </w:r>
      <w:r w:rsidR="00F74466">
        <w:rPr>
          <w:rFonts w:ascii="Arial" w:hAnsi="Arial" w:cs="Arial"/>
          <w:shd w:val="clear" w:color="auto" w:fill="FFFFFF"/>
        </w:rPr>
        <w:tab/>
        <w:t>Ing. Martin Novák, daňový poradce, č. osv. 4523</w:t>
      </w:r>
    </w:p>
    <w:p w:rsidR="00F74466" w:rsidRPr="00D373B7" w:rsidRDefault="00F74466" w:rsidP="00C0559A">
      <w:pPr>
        <w:pStyle w:val="Zkladntext"/>
        <w:spacing w:after="0"/>
        <w:jc w:val="both"/>
        <w:rPr>
          <w:rFonts w:ascii="Arial" w:hAnsi="Arial" w:cs="Arial"/>
        </w:rPr>
      </w:pPr>
      <w:r>
        <w:rPr>
          <w:rFonts w:ascii="Arial" w:hAnsi="Arial" w:cs="Arial"/>
          <w:shd w:val="clear" w:color="auto" w:fill="FFFFFF"/>
        </w:rPr>
        <w:tab/>
      </w:r>
      <w:r>
        <w:rPr>
          <w:rFonts w:ascii="Arial" w:hAnsi="Arial" w:cs="Arial"/>
          <w:shd w:val="clear" w:color="auto" w:fill="FFFFFF"/>
        </w:rPr>
        <w:tab/>
        <w:t>Ing. Tomáš Synák, daňový poradce, č. osv. 5199</w:t>
      </w:r>
    </w:p>
    <w:p w:rsidR="00B20AEB" w:rsidRPr="00740DF9" w:rsidRDefault="00B20AEB" w:rsidP="00C0559A">
      <w:pPr>
        <w:rPr>
          <w:rFonts w:ascii="Arial" w:hAnsi="Arial" w:cs="Arial"/>
          <w:color w:val="000000"/>
          <w:shd w:val="clear" w:color="auto" w:fill="FFFFFF"/>
        </w:rPr>
      </w:pPr>
    </w:p>
    <w:p w:rsidR="00F74466" w:rsidRPr="00B3013A" w:rsidRDefault="00B3013A" w:rsidP="00C0559A">
      <w:pPr>
        <w:rPr>
          <w:rFonts w:ascii="Arial" w:hAnsi="Arial" w:cs="Arial"/>
          <w:b/>
          <w:color w:val="000000"/>
          <w:sz w:val="28"/>
          <w:szCs w:val="28"/>
          <w:u w:val="single"/>
          <w:shd w:val="clear" w:color="auto" w:fill="FFFFFF"/>
        </w:rPr>
      </w:pPr>
      <w:r w:rsidRPr="00B3013A">
        <w:rPr>
          <w:rFonts w:ascii="Arial" w:hAnsi="Arial" w:cs="Arial"/>
          <w:b/>
          <w:color w:val="000000"/>
          <w:sz w:val="28"/>
          <w:szCs w:val="28"/>
          <w:highlight w:val="yellow"/>
          <w:u w:val="single"/>
          <w:shd w:val="clear" w:color="auto" w:fill="FFFFFF"/>
        </w:rPr>
        <w:t>PŘÍSPĚVEK UZAVŘEN, V KONKRÉTNÍCH BODECH S ROZPOREM</w:t>
      </w:r>
    </w:p>
    <w:p w:rsidR="00F74466" w:rsidRDefault="00F74466" w:rsidP="00C0559A">
      <w:pP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341E5A" w:rsidRDefault="00FC7669" w:rsidP="00C0559A">
      <w:pPr>
        <w:pStyle w:val="Zkladntext"/>
        <w:spacing w:after="0"/>
        <w:jc w:val="both"/>
        <w:rPr>
          <w:rFonts w:ascii="Arial" w:hAnsi="Arial" w:cs="Arial"/>
          <w:b/>
          <w:color w:val="000000"/>
          <w:shd w:val="clear" w:color="auto" w:fill="FFFFFF"/>
        </w:rPr>
      </w:pPr>
      <w:r>
        <w:rPr>
          <w:rFonts w:ascii="Arial" w:hAnsi="Arial" w:cs="Arial"/>
          <w:b/>
          <w:color w:val="000000"/>
          <w:shd w:val="clear" w:color="auto" w:fill="FFFFFF"/>
        </w:rPr>
        <w:t>587</w:t>
      </w:r>
      <w:r w:rsidR="00341E5A">
        <w:rPr>
          <w:rFonts w:ascii="Arial" w:hAnsi="Arial" w:cs="Arial"/>
          <w:b/>
          <w:color w:val="000000"/>
          <w:shd w:val="clear" w:color="auto" w:fill="FFFFFF"/>
        </w:rPr>
        <w:t xml:space="preserve">/24.11.21 </w:t>
      </w:r>
      <w:r w:rsidR="00341E5A" w:rsidRPr="003921F8">
        <w:rPr>
          <w:rFonts w:ascii="Arial" w:hAnsi="Arial" w:cs="Arial"/>
          <w:b/>
          <w:color w:val="000000"/>
          <w:shd w:val="clear" w:color="auto" w:fill="FFFFFF"/>
        </w:rPr>
        <w:t>Vstupní cena</w:t>
      </w:r>
      <w:r w:rsidR="00341E5A">
        <w:rPr>
          <w:rFonts w:ascii="Arial" w:hAnsi="Arial" w:cs="Arial"/>
          <w:b/>
          <w:color w:val="000000"/>
          <w:shd w:val="clear" w:color="auto" w:fill="FFFFFF"/>
        </w:rPr>
        <w:t xml:space="preserve"> </w:t>
      </w:r>
      <w:proofErr w:type="gramStart"/>
      <w:r w:rsidR="00341E5A">
        <w:rPr>
          <w:rFonts w:ascii="Arial" w:hAnsi="Arial" w:cs="Arial"/>
          <w:b/>
          <w:color w:val="000000"/>
          <w:shd w:val="clear" w:color="auto" w:fill="FFFFFF"/>
        </w:rPr>
        <w:t xml:space="preserve">zásob a </w:t>
      </w:r>
      <w:r w:rsidR="00341E5A" w:rsidRPr="003921F8">
        <w:rPr>
          <w:rFonts w:ascii="Arial" w:hAnsi="Arial" w:cs="Arial"/>
          <w:b/>
          <w:color w:val="000000"/>
          <w:shd w:val="clear" w:color="auto" w:fill="FFFFFF"/>
        </w:rPr>
        <w:t xml:space="preserve"> </w:t>
      </w:r>
      <w:r w:rsidR="00341E5A">
        <w:rPr>
          <w:rFonts w:ascii="Arial" w:hAnsi="Arial" w:cs="Arial"/>
          <w:b/>
          <w:color w:val="000000"/>
          <w:shd w:val="clear" w:color="auto" w:fill="FFFFFF"/>
        </w:rPr>
        <w:t>majetku</w:t>
      </w:r>
      <w:proofErr w:type="gramEnd"/>
      <w:r w:rsidR="00341E5A">
        <w:rPr>
          <w:rFonts w:ascii="Arial" w:hAnsi="Arial" w:cs="Arial"/>
          <w:b/>
          <w:color w:val="000000"/>
          <w:shd w:val="clear" w:color="auto" w:fill="FFFFFF"/>
        </w:rPr>
        <w:t xml:space="preserve">, který není hmotným majetkem </w:t>
      </w:r>
      <w:r w:rsidR="00341E5A" w:rsidRPr="003921F8">
        <w:rPr>
          <w:rFonts w:ascii="Arial" w:hAnsi="Arial" w:cs="Arial"/>
          <w:b/>
          <w:color w:val="000000"/>
          <w:shd w:val="clear" w:color="auto" w:fill="FFFFFF"/>
        </w:rPr>
        <w:t xml:space="preserve"> a nehmotného majetku, u přijímajícího poplatníka</w:t>
      </w:r>
      <w:r w:rsidR="00341E5A">
        <w:rPr>
          <w:rFonts w:ascii="Arial" w:hAnsi="Arial" w:cs="Arial"/>
          <w:b/>
          <w:color w:val="000000"/>
          <w:shd w:val="clear" w:color="auto" w:fill="FFFFFF"/>
        </w:rPr>
        <w:t xml:space="preserve"> ………</w:t>
      </w:r>
      <w:r w:rsidR="00C0559A">
        <w:rPr>
          <w:rFonts w:ascii="Arial" w:hAnsi="Arial" w:cs="Arial"/>
          <w:b/>
          <w:color w:val="000000"/>
          <w:shd w:val="clear" w:color="auto" w:fill="FFFFFF"/>
        </w:rPr>
        <w:t>………………………</w:t>
      </w:r>
      <w:r w:rsidR="00912A04">
        <w:rPr>
          <w:rFonts w:ascii="Arial" w:hAnsi="Arial" w:cs="Arial"/>
          <w:b/>
          <w:color w:val="000000"/>
          <w:shd w:val="clear" w:color="auto" w:fill="FFFFFF"/>
        </w:rPr>
        <w:t>…..</w:t>
      </w:r>
      <w:r w:rsidR="00C0559A">
        <w:rPr>
          <w:rFonts w:ascii="Arial" w:hAnsi="Arial" w:cs="Arial"/>
          <w:b/>
          <w:color w:val="000000"/>
          <w:shd w:val="clear" w:color="auto" w:fill="FFFFFF"/>
        </w:rPr>
        <w:t>.</w:t>
      </w:r>
      <w:r w:rsidR="00912A04">
        <w:rPr>
          <w:rFonts w:ascii="Arial" w:hAnsi="Arial" w:cs="Arial"/>
          <w:b/>
          <w:color w:val="000000"/>
          <w:shd w:val="clear" w:color="auto" w:fill="FFFFFF"/>
        </w:rPr>
        <w:t xml:space="preserve"> 1</w:t>
      </w:r>
      <w:r w:rsidR="00937D7C">
        <w:rPr>
          <w:rFonts w:ascii="Arial" w:hAnsi="Arial" w:cs="Arial"/>
          <w:b/>
          <w:color w:val="000000"/>
          <w:shd w:val="clear" w:color="auto" w:fill="FFFFFF"/>
        </w:rPr>
        <w:t>1</w:t>
      </w:r>
    </w:p>
    <w:p w:rsidR="00341E5A" w:rsidRPr="003921F8" w:rsidRDefault="00341E5A" w:rsidP="00C0559A">
      <w:pPr>
        <w:pStyle w:val="Zkladntext"/>
        <w:spacing w:after="0"/>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341E5A" w:rsidRPr="003921F8" w:rsidRDefault="00341E5A" w:rsidP="00C0559A">
      <w:pPr>
        <w:pStyle w:val="Zkladntext"/>
        <w:spacing w:after="0"/>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 xml:space="preserve">Mgr. Zenon Folwarczny, </w:t>
      </w:r>
      <w:proofErr w:type="gramStart"/>
      <w:r w:rsidRPr="003921F8">
        <w:rPr>
          <w:rFonts w:ascii="Arial" w:hAnsi="Arial" w:cs="Arial"/>
          <w:color w:val="000000"/>
          <w:shd w:val="clear" w:color="auto" w:fill="FFFFFF"/>
        </w:rPr>
        <w:t>LL.M.</w:t>
      </w:r>
      <w:proofErr w:type="gramEnd"/>
      <w:r w:rsidRPr="003921F8">
        <w:rPr>
          <w:rFonts w:ascii="Arial" w:hAnsi="Arial" w:cs="Arial"/>
          <w:color w:val="000000"/>
          <w:shd w:val="clear" w:color="auto" w:fill="FFFFFF"/>
        </w:rPr>
        <w:t>, daň</w:t>
      </w:r>
      <w:r>
        <w:rPr>
          <w:rFonts w:ascii="Arial" w:hAnsi="Arial" w:cs="Arial"/>
          <w:color w:val="000000"/>
          <w:shd w:val="clear" w:color="auto" w:fill="FFFFFF"/>
        </w:rPr>
        <w:t>ový poradce, č. osv. 3661</w:t>
      </w:r>
    </w:p>
    <w:p w:rsidR="00341E5A" w:rsidRPr="003921F8" w:rsidRDefault="00341E5A" w:rsidP="00C0559A">
      <w:pPr>
        <w:pStyle w:val="Zkladntext"/>
        <w:spacing w:after="0"/>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341E5A" w:rsidRDefault="00341E5A" w:rsidP="00C0559A">
      <w:pPr>
        <w:pStyle w:val="Zkladntext"/>
        <w:spacing w:after="0"/>
        <w:ind w:left="708" w:firstLine="708"/>
        <w:jc w:val="both"/>
        <w:rPr>
          <w:rFonts w:ascii="Arial" w:hAnsi="Arial" w:cs="Arial"/>
          <w:color w:val="2E3641"/>
          <w:shd w:val="clear" w:color="auto" w:fill="FFFFFF"/>
        </w:rPr>
      </w:pPr>
      <w:r w:rsidRPr="002907D2">
        <w:rPr>
          <w:rFonts w:ascii="Arial" w:hAnsi="Arial" w:cs="Arial"/>
        </w:rPr>
        <w:t>Ing. Jiří Hlaváč Ph.D.</w:t>
      </w:r>
      <w:r w:rsidRPr="002907D2">
        <w:rPr>
          <w:rFonts w:ascii="Arial" w:hAnsi="Arial" w:cs="Arial"/>
          <w:shd w:val="clear" w:color="auto" w:fill="FFFFFF"/>
        </w:rPr>
        <w:t xml:space="preserve"> daňový poradce, č. osv. </w:t>
      </w:r>
      <w:r w:rsidRPr="002907D2">
        <w:rPr>
          <w:rFonts w:ascii="Arial" w:hAnsi="Arial" w:cs="Arial"/>
          <w:color w:val="2E3641"/>
          <w:shd w:val="clear" w:color="auto" w:fill="FFFFFF"/>
        </w:rPr>
        <w:t>3221</w:t>
      </w:r>
    </w:p>
    <w:p w:rsidR="00C0559A" w:rsidRDefault="00C0559A" w:rsidP="00C0559A">
      <w:pPr>
        <w:pStyle w:val="Zkladntext"/>
        <w:spacing w:after="0"/>
        <w:jc w:val="both"/>
        <w:rPr>
          <w:rFonts w:ascii="Arial" w:hAnsi="Arial" w:cs="Arial"/>
          <w:shd w:val="clear" w:color="auto" w:fill="FFFFFF"/>
        </w:rPr>
      </w:pPr>
    </w:p>
    <w:p w:rsidR="0075656C" w:rsidRDefault="0075656C" w:rsidP="0075656C">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EB0D00" w:rsidRPr="00EB0D00" w:rsidRDefault="00EB0D00" w:rsidP="00C0559A">
      <w:pPr>
        <w:pStyle w:val="Zkladntext"/>
        <w:spacing w:after="0"/>
        <w:jc w:val="both"/>
        <w:rPr>
          <w:rFonts w:ascii="Arial" w:hAnsi="Arial" w:cs="Arial"/>
          <w:b/>
          <w:u w:val="single"/>
          <w:shd w:val="clear" w:color="auto" w:fill="FFFFFF"/>
        </w:rPr>
      </w:pPr>
      <w:r w:rsidRPr="00EB0D00">
        <w:rPr>
          <w:rFonts w:ascii="Arial" w:hAnsi="Arial" w:cs="Arial"/>
          <w:b/>
          <w:u w:val="single"/>
          <w:shd w:val="clear" w:color="auto" w:fill="FFFFFF"/>
        </w:rPr>
        <w:t>Daň z příjmů</w:t>
      </w:r>
    </w:p>
    <w:p w:rsidR="00C0559A" w:rsidRDefault="00FC7669" w:rsidP="00C0559A">
      <w:pPr>
        <w:pStyle w:val="Zkladntext"/>
        <w:spacing w:after="0"/>
        <w:jc w:val="both"/>
        <w:rPr>
          <w:rFonts w:ascii="Arial" w:hAnsi="Arial" w:cs="Arial"/>
          <w:b/>
          <w:shd w:val="clear" w:color="auto" w:fill="FFFFFF"/>
        </w:rPr>
      </w:pPr>
      <w:r>
        <w:rPr>
          <w:rFonts w:ascii="Arial" w:hAnsi="Arial" w:cs="Arial"/>
          <w:b/>
          <w:shd w:val="clear" w:color="auto" w:fill="FFFFFF"/>
        </w:rPr>
        <w:t>588</w:t>
      </w:r>
      <w:r w:rsidR="00C0559A" w:rsidRPr="00C0559A">
        <w:rPr>
          <w:rFonts w:ascii="Arial" w:hAnsi="Arial" w:cs="Arial"/>
          <w:b/>
          <w:shd w:val="clear" w:color="auto" w:fill="FFFFFF"/>
        </w:rPr>
        <w:t>/24.11.21 Srovnatelnost zahraničních trustů a trustových struktur se svěřenským fondem</w:t>
      </w:r>
      <w:r w:rsidR="00C0559A">
        <w:rPr>
          <w:rFonts w:ascii="Arial" w:hAnsi="Arial" w:cs="Arial"/>
          <w:b/>
          <w:shd w:val="clear" w:color="auto" w:fill="FFFFFF"/>
        </w:rPr>
        <w:t xml:space="preserve"> ……………………………………………………………</w:t>
      </w:r>
      <w:proofErr w:type="gramStart"/>
      <w:r w:rsidR="00C0559A">
        <w:rPr>
          <w:rFonts w:ascii="Arial" w:hAnsi="Arial" w:cs="Arial"/>
          <w:b/>
          <w:shd w:val="clear" w:color="auto" w:fill="FFFFFF"/>
        </w:rPr>
        <w:t>…</w:t>
      </w:r>
      <w:r w:rsidR="00366DF1">
        <w:rPr>
          <w:rFonts w:ascii="Arial" w:hAnsi="Arial" w:cs="Arial"/>
          <w:b/>
          <w:shd w:val="clear" w:color="auto" w:fill="FFFFFF"/>
        </w:rPr>
        <w:t>..</w:t>
      </w:r>
      <w:r w:rsidR="00546B5C">
        <w:rPr>
          <w:rFonts w:ascii="Arial" w:hAnsi="Arial" w:cs="Arial"/>
          <w:b/>
          <w:shd w:val="clear" w:color="auto" w:fill="FFFFFF"/>
        </w:rPr>
        <w:t>…</w:t>
      </w:r>
      <w:proofErr w:type="gramEnd"/>
      <w:r w:rsidR="00546B5C">
        <w:rPr>
          <w:rFonts w:ascii="Arial" w:hAnsi="Arial" w:cs="Arial"/>
          <w:b/>
          <w:shd w:val="clear" w:color="auto" w:fill="FFFFFF"/>
        </w:rPr>
        <w:t>… 2</w:t>
      </w:r>
      <w:r w:rsidR="004E42AF">
        <w:rPr>
          <w:rFonts w:ascii="Arial" w:hAnsi="Arial" w:cs="Arial"/>
          <w:b/>
          <w:shd w:val="clear" w:color="auto" w:fill="FFFFFF"/>
        </w:rPr>
        <w:t>1</w:t>
      </w:r>
    </w:p>
    <w:p w:rsidR="00C0559A" w:rsidRDefault="00C0559A" w:rsidP="00C0559A">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rsidR="00B3013A" w:rsidRPr="004E42AF" w:rsidRDefault="00B3013A" w:rsidP="00C0559A">
      <w:pPr>
        <w:pStyle w:val="Zkladntext"/>
        <w:spacing w:after="0"/>
        <w:jc w:val="both"/>
        <w:rPr>
          <w:rFonts w:ascii="Arial" w:hAnsi="Arial" w:cs="Arial"/>
          <w:color w:val="FF0000"/>
          <w:shd w:val="clear" w:color="auto" w:fill="FFFFFF"/>
        </w:rPr>
      </w:pPr>
      <w:r w:rsidRPr="004E42AF">
        <w:rPr>
          <w:rFonts w:ascii="Arial" w:hAnsi="Arial" w:cs="Arial"/>
          <w:color w:val="FF0000"/>
          <w:shd w:val="clear" w:color="auto" w:fill="FFFFFF"/>
        </w:rPr>
        <w:t>Příspěvek po dohodě s předkladatelem neuzavřen, odložen na jednání v 01/2022.</w:t>
      </w:r>
    </w:p>
    <w:p w:rsidR="00F74466" w:rsidRDefault="00F74466" w:rsidP="00C0559A">
      <w:pPr>
        <w:rPr>
          <w:rFonts w:ascii="Arial" w:hAnsi="Arial" w:cs="Arial"/>
          <w:b/>
          <w:color w:val="000000"/>
          <w:u w:val="single"/>
          <w:shd w:val="clear" w:color="auto" w:fill="FFFFFF"/>
        </w:rPr>
      </w:pPr>
    </w:p>
    <w:p w:rsidR="00822E0F" w:rsidRDefault="00822E0F" w:rsidP="00C0559A">
      <w:pPr>
        <w:rPr>
          <w:rFonts w:ascii="Arial" w:hAnsi="Arial" w:cs="Arial"/>
          <w:b/>
          <w:color w:val="000000"/>
          <w:u w:val="single"/>
          <w:shd w:val="clear" w:color="auto" w:fill="FFFFFF"/>
        </w:rPr>
      </w:pPr>
      <w:r w:rsidRPr="004156A6">
        <w:rPr>
          <w:rFonts w:ascii="Arial" w:hAnsi="Arial" w:cs="Arial"/>
          <w:b/>
          <w:sz w:val="32"/>
          <w:szCs w:val="32"/>
          <w:highlight w:val="yellow"/>
          <w:u w:val="single"/>
          <w:lang w:val="cs-CZ" w:eastAsia="cs-CZ"/>
        </w:rPr>
        <w:t>PŘÍSPĚVEK</w:t>
      </w:r>
      <w:r w:rsidRPr="004156A6">
        <w:rPr>
          <w:rFonts w:ascii="Arial" w:hAnsi="Arial" w:cs="Arial"/>
          <w:b/>
          <w:sz w:val="30"/>
          <w:szCs w:val="30"/>
          <w:highlight w:val="yellow"/>
          <w:u w:val="single"/>
          <w:lang w:val="cs-CZ" w:eastAsia="cs-CZ"/>
        </w:rPr>
        <w:t xml:space="preserve"> UZAVŘEN </w:t>
      </w:r>
      <w:r>
        <w:rPr>
          <w:rFonts w:ascii="Arial" w:hAnsi="Arial" w:cs="Arial"/>
          <w:b/>
          <w:sz w:val="30"/>
          <w:szCs w:val="30"/>
          <w:highlight w:val="yellow"/>
          <w:u w:val="single"/>
          <w:lang w:val="cs-CZ" w:eastAsia="cs-CZ"/>
        </w:rPr>
        <w:t>BEZ ROZPORU</w:t>
      </w:r>
      <w:r w:rsidRPr="004156A6">
        <w:rPr>
          <w:rFonts w:ascii="Arial" w:hAnsi="Arial" w:cs="Arial"/>
          <w:b/>
          <w:sz w:val="30"/>
          <w:szCs w:val="30"/>
          <w:highlight w:val="yellow"/>
          <w:u w:val="single"/>
          <w:lang w:val="cs-CZ" w:eastAsia="cs-CZ"/>
        </w:rPr>
        <w:t xml:space="preserve"> KE DNI </w:t>
      </w:r>
      <w:proofErr w:type="gramStart"/>
      <w:r>
        <w:rPr>
          <w:rFonts w:ascii="Arial" w:hAnsi="Arial" w:cs="Arial"/>
          <w:b/>
          <w:sz w:val="30"/>
          <w:szCs w:val="30"/>
          <w:highlight w:val="yellow"/>
          <w:u w:val="single"/>
          <w:lang w:val="cs-CZ" w:eastAsia="cs-CZ"/>
        </w:rPr>
        <w:t>24.11.</w:t>
      </w:r>
      <w:r w:rsidRPr="004156A6">
        <w:rPr>
          <w:rFonts w:ascii="Arial" w:hAnsi="Arial" w:cs="Arial"/>
          <w:b/>
          <w:sz w:val="30"/>
          <w:szCs w:val="30"/>
          <w:highlight w:val="yellow"/>
          <w:u w:val="single"/>
          <w:lang w:val="cs-CZ" w:eastAsia="cs-CZ"/>
        </w:rPr>
        <w:t>2021</w:t>
      </w:r>
      <w:proofErr w:type="gramEnd"/>
    </w:p>
    <w:p w:rsidR="00F74466" w:rsidRDefault="00F74466" w:rsidP="00C0559A">
      <w:pP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341E5A" w:rsidRDefault="00FC7669" w:rsidP="00C0559A">
      <w:pPr>
        <w:rPr>
          <w:rFonts w:ascii="Arial" w:hAnsi="Arial" w:cs="Arial"/>
          <w:b/>
          <w:color w:val="000000"/>
          <w:shd w:val="clear" w:color="auto" w:fill="FFFFFF"/>
        </w:rPr>
      </w:pPr>
      <w:r>
        <w:rPr>
          <w:rFonts w:ascii="Arial" w:hAnsi="Arial" w:cs="Arial"/>
          <w:b/>
          <w:color w:val="000000"/>
          <w:shd w:val="clear" w:color="auto" w:fill="FFFFFF"/>
        </w:rPr>
        <w:t>589</w:t>
      </w:r>
      <w:r w:rsidR="00341E5A" w:rsidRPr="00341E5A">
        <w:rPr>
          <w:rFonts w:ascii="Arial" w:hAnsi="Arial" w:cs="Arial"/>
          <w:b/>
          <w:color w:val="000000"/>
          <w:shd w:val="clear" w:color="auto" w:fill="FFFFFF"/>
        </w:rPr>
        <w:t>/</w:t>
      </w:r>
      <w:r w:rsidR="00341E5A">
        <w:rPr>
          <w:rFonts w:ascii="Arial" w:hAnsi="Arial" w:cs="Arial"/>
          <w:b/>
          <w:color w:val="000000"/>
          <w:shd w:val="clear" w:color="auto" w:fill="FFFFFF"/>
        </w:rPr>
        <w:t>24.11.21 Uplatnění DPH při zřízení práva stavby ………</w:t>
      </w:r>
      <w:r w:rsidR="007E3B66">
        <w:rPr>
          <w:rFonts w:ascii="Arial" w:hAnsi="Arial" w:cs="Arial"/>
          <w:b/>
          <w:color w:val="000000"/>
          <w:shd w:val="clear" w:color="auto" w:fill="FFFFFF"/>
        </w:rPr>
        <w:t>……………………</w:t>
      </w:r>
      <w:r w:rsidR="00546B5C">
        <w:rPr>
          <w:rFonts w:ascii="Arial" w:hAnsi="Arial" w:cs="Arial"/>
          <w:b/>
          <w:color w:val="000000"/>
          <w:shd w:val="clear" w:color="auto" w:fill="FFFFFF"/>
        </w:rPr>
        <w:t>.</w:t>
      </w:r>
      <w:r w:rsidR="007E3B66">
        <w:rPr>
          <w:rFonts w:ascii="Arial" w:hAnsi="Arial" w:cs="Arial"/>
          <w:b/>
          <w:color w:val="000000"/>
          <w:shd w:val="clear" w:color="auto" w:fill="FFFFFF"/>
        </w:rPr>
        <w:t>.</w:t>
      </w:r>
      <w:r w:rsidR="00546B5C">
        <w:rPr>
          <w:rFonts w:ascii="Arial" w:hAnsi="Arial" w:cs="Arial"/>
          <w:b/>
          <w:color w:val="000000"/>
          <w:shd w:val="clear" w:color="auto" w:fill="FFFFFF"/>
        </w:rPr>
        <w:t xml:space="preserve"> 2</w:t>
      </w:r>
      <w:r w:rsidR="004E42AF">
        <w:rPr>
          <w:rFonts w:ascii="Arial" w:hAnsi="Arial" w:cs="Arial"/>
          <w:b/>
          <w:color w:val="000000"/>
          <w:shd w:val="clear" w:color="auto" w:fill="FFFFFF"/>
        </w:rPr>
        <w:t>7</w:t>
      </w:r>
    </w:p>
    <w:p w:rsidR="00341E5A" w:rsidRPr="00341E5A" w:rsidRDefault="00341E5A" w:rsidP="00C0559A">
      <w:pPr>
        <w:rPr>
          <w:rFonts w:ascii="Arial" w:hAnsi="Arial" w:cs="Arial"/>
          <w:color w:val="000000"/>
          <w:shd w:val="clear" w:color="auto" w:fill="FFFFFF"/>
        </w:rPr>
      </w:pPr>
      <w:r>
        <w:rPr>
          <w:rFonts w:ascii="Arial" w:hAnsi="Arial" w:cs="Arial"/>
          <w:color w:val="000000"/>
          <w:shd w:val="clear" w:color="auto" w:fill="FFFFFF"/>
        </w:rPr>
        <w:t xml:space="preserve">Předkládají: </w:t>
      </w:r>
      <w:r>
        <w:rPr>
          <w:rFonts w:ascii="Arial" w:hAnsi="Arial" w:cs="Arial"/>
          <w:color w:val="000000"/>
          <w:shd w:val="clear" w:color="auto" w:fill="FFFFFF"/>
        </w:rPr>
        <w:tab/>
      </w:r>
      <w:r w:rsidRPr="00341E5A">
        <w:rPr>
          <w:rFonts w:ascii="Arial" w:hAnsi="Arial" w:cs="Arial"/>
          <w:color w:val="000000"/>
          <w:shd w:val="clear" w:color="auto" w:fill="FFFFFF"/>
        </w:rPr>
        <w:t>Ing. Stanislav Pokorný, daňový poradce, č. osv. 4664</w:t>
      </w:r>
    </w:p>
    <w:p w:rsidR="002C50A4" w:rsidRPr="00F74466" w:rsidRDefault="00341E5A" w:rsidP="0075656C">
      <w:pPr>
        <w:ind w:left="708" w:firstLine="708"/>
        <w:rPr>
          <w:rFonts w:ascii="Arial" w:hAnsi="Arial" w:cs="Arial"/>
          <w:b/>
          <w:color w:val="000000"/>
          <w:shd w:val="clear" w:color="auto" w:fill="FFFFFF"/>
        </w:rPr>
      </w:pPr>
      <w:r w:rsidRPr="00341E5A">
        <w:rPr>
          <w:rFonts w:ascii="Arial" w:hAnsi="Arial" w:cs="Arial"/>
          <w:color w:val="000000"/>
          <w:shd w:val="clear" w:color="auto" w:fill="FFFFFF"/>
        </w:rPr>
        <w:t>Ing. Jevgenija Bajzíková, daňový poradce, č. osv. 5063</w:t>
      </w:r>
      <w:r w:rsidR="00F74466">
        <w:rPr>
          <w:rFonts w:ascii="Arial" w:hAnsi="Arial" w:cs="Arial"/>
          <w:b/>
          <w:color w:val="000000"/>
          <w:shd w:val="clear" w:color="auto" w:fill="FFFFFF"/>
        </w:rPr>
        <w:br w:type="page"/>
      </w:r>
    </w:p>
    <w:p w:rsidR="00327CE7" w:rsidRDefault="00327CE7" w:rsidP="002C50A4">
      <w:pPr>
        <w:pStyle w:val="Zkladntext"/>
        <w:spacing w:after="0" w:line="276" w:lineRule="auto"/>
        <w:jc w:val="center"/>
        <w:rPr>
          <w:rFonts w:ascii="Arial" w:hAnsi="Arial" w:cs="Arial"/>
          <w:b/>
          <w:color w:val="000000"/>
          <w:u w:val="single"/>
          <w:shd w:val="clear" w:color="auto" w:fill="FFFFFF"/>
        </w:rPr>
      </w:pPr>
      <w:r w:rsidRPr="00AA6240">
        <w:rPr>
          <w:rFonts w:ascii="Arial" w:hAnsi="Arial" w:cs="Arial"/>
          <w:b/>
          <w:sz w:val="32"/>
          <w:szCs w:val="32"/>
          <w:highlight w:val="yellow"/>
          <w:u w:val="single"/>
        </w:rPr>
        <w:lastRenderedPageBreak/>
        <w:t>ODLOŽEN</w:t>
      </w:r>
      <w:r>
        <w:rPr>
          <w:rFonts w:ascii="Arial" w:hAnsi="Arial" w:cs="Arial"/>
          <w:b/>
          <w:sz w:val="32"/>
          <w:szCs w:val="32"/>
          <w:highlight w:val="yellow"/>
          <w:u w:val="single"/>
        </w:rPr>
        <w:t>Ý</w:t>
      </w:r>
      <w:r w:rsidRPr="00AA6240">
        <w:rPr>
          <w:rFonts w:ascii="Arial" w:hAnsi="Arial" w:cs="Arial"/>
          <w:b/>
          <w:sz w:val="32"/>
          <w:szCs w:val="32"/>
          <w:highlight w:val="yellow"/>
          <w:u w:val="single"/>
        </w:rPr>
        <w:t xml:space="preserve"> PŘÍSPĚ</w:t>
      </w:r>
      <w:r w:rsidRPr="00FC21EA">
        <w:rPr>
          <w:rFonts w:ascii="Arial" w:hAnsi="Arial" w:cs="Arial"/>
          <w:b/>
          <w:sz w:val="32"/>
          <w:szCs w:val="32"/>
          <w:highlight w:val="yellow"/>
          <w:u w:val="single"/>
        </w:rPr>
        <w:t>V</w:t>
      </w:r>
      <w:r w:rsidRPr="004156A6">
        <w:rPr>
          <w:rFonts w:ascii="Arial" w:hAnsi="Arial" w:cs="Arial"/>
          <w:b/>
          <w:sz w:val="32"/>
          <w:szCs w:val="32"/>
          <w:highlight w:val="yellow"/>
          <w:u w:val="single"/>
        </w:rPr>
        <w:t>EK</w:t>
      </w:r>
      <w:r>
        <w:rPr>
          <w:rFonts w:ascii="Arial" w:hAnsi="Arial" w:cs="Arial"/>
          <w:b/>
          <w:color w:val="000000"/>
          <w:u w:val="single"/>
          <w:shd w:val="clear" w:color="auto" w:fill="FFFFFF"/>
        </w:rPr>
        <w:t xml:space="preserve"> </w:t>
      </w:r>
    </w:p>
    <w:p w:rsidR="002C50A4" w:rsidRDefault="002C50A4" w:rsidP="002C50A4">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80212A" w:rsidRDefault="0080212A">
      <w:pPr>
        <w:rPr>
          <w:rFonts w:ascii="Arial" w:hAnsi="Arial" w:cs="Arial"/>
          <w:b/>
          <w:color w:val="000000"/>
          <w:u w:val="single"/>
          <w:shd w:val="clear" w:color="auto" w:fill="FFFFFF"/>
          <w:lang w:val="cs-CZ" w:eastAsia="cs-CZ"/>
        </w:rPr>
      </w:pPr>
    </w:p>
    <w:p w:rsidR="00263379" w:rsidRDefault="00263379" w:rsidP="00263379">
      <w:pPr>
        <w:pStyle w:val="Zkladntext"/>
        <w:spacing w:after="0"/>
        <w:jc w:val="both"/>
        <w:rPr>
          <w:rFonts w:ascii="Arial" w:hAnsi="Arial" w:cs="Arial"/>
          <w:b/>
          <w:color w:val="000000"/>
          <w:shd w:val="clear" w:color="auto" w:fill="FFFFFF"/>
        </w:rPr>
      </w:pPr>
      <w:r w:rsidRPr="00F860B1">
        <w:rPr>
          <w:rFonts w:ascii="Arial" w:hAnsi="Arial" w:cs="Arial"/>
          <w:b/>
          <w:sz w:val="22"/>
          <w:szCs w:val="22"/>
          <w:u w:val="single"/>
        </w:rPr>
        <w:t>PŘÍSPĚVEK V ČÁSTI II. VKLAD CENNÝCH PAPÍRŮ a PODÍLŮ, NEPROJEDNÁN</w:t>
      </w:r>
    </w:p>
    <w:p w:rsidR="00263379" w:rsidRDefault="00263379" w:rsidP="00571F14">
      <w:pPr>
        <w:pStyle w:val="Zkladntext"/>
        <w:spacing w:after="0" w:line="276" w:lineRule="auto"/>
        <w:jc w:val="both"/>
        <w:rPr>
          <w:rFonts w:ascii="Arial" w:hAnsi="Arial" w:cs="Arial"/>
          <w:b/>
          <w:color w:val="000000"/>
          <w:shd w:val="clear" w:color="auto" w:fill="FFFFFF"/>
        </w:rPr>
      </w:pPr>
    </w:p>
    <w:p w:rsidR="00145F38" w:rsidRDefault="00145F38" w:rsidP="00145F38">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p>
    <w:p w:rsidR="00145F38" w:rsidRDefault="00145F38" w:rsidP="00145F38">
      <w:pPr>
        <w:pStyle w:val="Zkladntext"/>
        <w:spacing w:after="0" w:line="276" w:lineRule="auto"/>
        <w:jc w:val="both"/>
        <w:rPr>
          <w:rFonts w:ascii="Arial" w:hAnsi="Arial" w:cs="Arial"/>
          <w:b/>
          <w:color w:val="000000"/>
          <w:shd w:val="clear" w:color="auto" w:fill="FFFFFF"/>
        </w:rPr>
      </w:pPr>
    </w:p>
    <w:p w:rsidR="00145F38" w:rsidRPr="003921F8" w:rsidRDefault="00145F38" w:rsidP="00145F38">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145F38" w:rsidRPr="003921F8" w:rsidRDefault="00145F38" w:rsidP="00145F38">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 xml:space="preserve">Mgr. Zenon Folwarczny, </w:t>
      </w:r>
      <w:proofErr w:type="gramStart"/>
      <w:r w:rsidRPr="003921F8">
        <w:rPr>
          <w:rFonts w:ascii="Arial" w:hAnsi="Arial" w:cs="Arial"/>
          <w:color w:val="000000"/>
          <w:shd w:val="clear" w:color="auto" w:fill="FFFFFF"/>
        </w:rPr>
        <w:t>LL.M.</w:t>
      </w:r>
      <w:proofErr w:type="gramEnd"/>
      <w:r w:rsidRPr="003921F8">
        <w:rPr>
          <w:rFonts w:ascii="Arial" w:hAnsi="Arial" w:cs="Arial"/>
          <w:color w:val="000000"/>
          <w:shd w:val="clear" w:color="auto" w:fill="FFFFFF"/>
        </w:rPr>
        <w:t>, daň</w:t>
      </w:r>
      <w:r>
        <w:rPr>
          <w:rFonts w:ascii="Arial" w:hAnsi="Arial" w:cs="Arial"/>
          <w:color w:val="000000"/>
          <w:shd w:val="clear" w:color="auto" w:fill="FFFFFF"/>
        </w:rPr>
        <w:t>ový poradce, č. osv. 3661</w:t>
      </w:r>
    </w:p>
    <w:p w:rsidR="00145F38" w:rsidRDefault="00145F38" w:rsidP="00145F38">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145F38" w:rsidRPr="003921F8" w:rsidRDefault="00145F38" w:rsidP="00145F38">
      <w:pPr>
        <w:pStyle w:val="Zkladntext"/>
        <w:spacing w:after="0" w:line="276" w:lineRule="auto"/>
        <w:ind w:left="708" w:firstLine="708"/>
        <w:jc w:val="both"/>
        <w:rPr>
          <w:rFonts w:ascii="Arial" w:hAnsi="Arial" w:cs="Arial"/>
          <w:color w:val="000000"/>
          <w:shd w:val="clear" w:color="auto" w:fill="FFFFFF"/>
        </w:rPr>
      </w:pPr>
      <w:r w:rsidRPr="00BF484B">
        <w:rPr>
          <w:rFonts w:ascii="Arial" w:hAnsi="Arial" w:cs="Arial"/>
          <w:color w:val="000000"/>
          <w:shd w:val="clear" w:color="auto" w:fill="FFFFFF"/>
        </w:rPr>
        <w:t>Ing. Jiří Hlaváč, Ph.D., daňový poradce, č. osv. 3221</w:t>
      </w:r>
    </w:p>
    <w:p w:rsidR="00145F38" w:rsidRDefault="00145F38" w:rsidP="00145F38">
      <w:pPr>
        <w:pStyle w:val="Zkladntext"/>
        <w:spacing w:after="0" w:line="276" w:lineRule="auto"/>
        <w:rPr>
          <w:rFonts w:ascii="Arial" w:hAnsi="Arial" w:cs="Arial"/>
          <w:b/>
          <w:color w:val="000000"/>
          <w:u w:val="single"/>
          <w:shd w:val="clear" w:color="auto" w:fill="FFFFFF"/>
        </w:rPr>
      </w:pPr>
    </w:p>
    <w:p w:rsidR="00145F38" w:rsidRPr="00E5082E" w:rsidRDefault="00145F38" w:rsidP="00145F38">
      <w:pPr>
        <w:pStyle w:val="Nadpis1"/>
        <w:keepLines/>
        <w:numPr>
          <w:ilvl w:val="0"/>
          <w:numId w:val="27"/>
        </w:numPr>
        <w:autoSpaceDN w:val="0"/>
        <w:spacing w:before="0" w:after="0"/>
        <w:jc w:val="both"/>
        <w:textAlignment w:val="baseline"/>
        <w:rPr>
          <w:b w:val="0"/>
          <w:color w:val="000000"/>
          <w:sz w:val="24"/>
          <w:szCs w:val="24"/>
        </w:rPr>
      </w:pPr>
      <w:r w:rsidRPr="00E5082E">
        <w:rPr>
          <w:color w:val="000000"/>
          <w:sz w:val="24"/>
          <w:szCs w:val="24"/>
        </w:rPr>
        <w:t>Cíl příspěvku</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proofErr w:type="gramStart"/>
      <w:r w:rsidRPr="00E5082E">
        <w:rPr>
          <w:rFonts w:ascii="Arial" w:hAnsi="Arial" w:cs="Arial"/>
        </w:rPr>
        <w:t>“ nebo</w:t>
      </w:r>
      <w:proofErr w:type="gramEnd"/>
      <w:r w:rsidRPr="00E5082E">
        <w:rPr>
          <w:rFonts w:ascii="Arial" w:hAnsi="Arial" w:cs="Arial"/>
        </w:rPr>
        <w:t xml:space="preserve">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b/>
          <w:iCs/>
        </w:rPr>
      </w:pPr>
      <w:r w:rsidRPr="00E5082E">
        <w:rPr>
          <w:rFonts w:ascii="Arial" w:hAnsi="Arial" w:cs="Arial"/>
        </w:rPr>
        <w:t xml:space="preserve">Závěry tohoto příspěvku jsou aplikovatelné jak </w:t>
      </w:r>
      <w:proofErr w:type="gramStart"/>
      <w:r w:rsidRPr="00E5082E">
        <w:rPr>
          <w:rFonts w:ascii="Arial" w:hAnsi="Arial" w:cs="Arial"/>
        </w:rPr>
        <w:t>na</w:t>
      </w:r>
      <w:proofErr w:type="gramEnd"/>
      <w:r w:rsidRPr="00E5082E">
        <w:rPr>
          <w:rFonts w:ascii="Arial" w:hAnsi="Arial" w:cs="Arial"/>
        </w:rPr>
        <w:t xml:space="preserve">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proofErr w:type="gramStart"/>
      <w:r w:rsidRPr="00E5082E">
        <w:rPr>
          <w:rFonts w:ascii="Arial" w:hAnsi="Arial" w:cs="Arial"/>
          <w:b/>
          <w:bCs/>
          <w:iCs/>
        </w:rPr>
        <w:t>od</w:t>
      </w:r>
      <w:proofErr w:type="gramEnd"/>
      <w:r w:rsidRPr="00E5082E">
        <w:rPr>
          <w:rFonts w:ascii="Arial" w:hAnsi="Arial" w:cs="Arial"/>
          <w:b/>
          <w:bCs/>
          <w:iCs/>
        </w:rPr>
        <w:t xml:space="preserve">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w:t>
      </w:r>
      <w:proofErr w:type="gramStart"/>
      <w:r w:rsidRPr="00E5082E">
        <w:rPr>
          <w:rFonts w:ascii="Arial" w:hAnsi="Arial" w:cs="Arial"/>
          <w:i/>
          <w:iCs/>
        </w:rPr>
        <w:t>na</w:t>
      </w:r>
      <w:proofErr w:type="gramEnd"/>
      <w:r w:rsidRPr="00E5082E">
        <w:rPr>
          <w:rFonts w:ascii="Arial" w:hAnsi="Arial" w:cs="Arial"/>
          <w:i/>
          <w:iCs/>
        </w:rPr>
        <w:t xml:space="preserve">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rsidR="00145F38" w:rsidRPr="00E5082E" w:rsidRDefault="00145F38" w:rsidP="00145F38">
      <w:pPr>
        <w:jc w:val="both"/>
        <w:rPr>
          <w:rFonts w:ascii="Arial" w:hAnsi="Arial" w:cs="Arial"/>
        </w:rPr>
      </w:pPr>
    </w:p>
    <w:p w:rsidR="00145F38" w:rsidRPr="00E5082E" w:rsidRDefault="00145F38" w:rsidP="00145F38">
      <w:pPr>
        <w:pStyle w:val="Nadpis1"/>
        <w:keepLines/>
        <w:numPr>
          <w:ilvl w:val="0"/>
          <w:numId w:val="27"/>
        </w:numPr>
        <w:autoSpaceDN w:val="0"/>
        <w:spacing w:before="0" w:after="0"/>
        <w:ind w:left="357" w:hanging="357"/>
        <w:jc w:val="both"/>
        <w:textAlignment w:val="baseline"/>
        <w:rPr>
          <w:b w:val="0"/>
          <w:color w:val="000000"/>
          <w:sz w:val="24"/>
          <w:szCs w:val="24"/>
        </w:rPr>
      </w:pPr>
      <w:r w:rsidRPr="00E5082E">
        <w:rPr>
          <w:color w:val="000000"/>
          <w:sz w:val="24"/>
          <w:szCs w:val="24"/>
        </w:rPr>
        <w:t>Popis situace</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lastRenderedPageBreak/>
        <w:t xml:space="preserve">Osobu vkladatele omezujeme pro účely tohoto příspěvku </w:t>
      </w:r>
      <w:proofErr w:type="gramStart"/>
      <w:r w:rsidRPr="00E5082E">
        <w:rPr>
          <w:rFonts w:ascii="Arial" w:hAnsi="Arial" w:cs="Arial"/>
        </w:rPr>
        <w:t>na</w:t>
      </w:r>
      <w:proofErr w:type="gramEnd"/>
      <w:r w:rsidRPr="00E5082E">
        <w:rPr>
          <w:rFonts w:ascii="Arial" w:hAnsi="Arial" w:cs="Arial"/>
        </w:rPr>
        <w:t xml:space="preserve"> daňového rezidenta ČR, jímž je</w:t>
      </w:r>
    </w:p>
    <w:p w:rsidR="00145F38" w:rsidRPr="00E5082E" w:rsidRDefault="00145F38" w:rsidP="00145F38">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fyzická osoba, přičemž ta může mít dvě postavení, a to</w:t>
      </w:r>
      <w:r w:rsidRPr="00E5082E">
        <w:rPr>
          <w:rFonts w:ascii="Arial" w:hAnsi="Arial" w:cs="Arial"/>
          <w:sz w:val="24"/>
          <w:szCs w:val="24"/>
        </w:rPr>
        <w:tab/>
      </w:r>
    </w:p>
    <w:p w:rsidR="00145F38" w:rsidRPr="00E5082E" w:rsidRDefault="00145F38" w:rsidP="00145F38">
      <w:pPr>
        <w:pStyle w:val="Odstavecseseznamem"/>
        <w:numPr>
          <w:ilvl w:val="2"/>
          <w:numId w:val="29"/>
        </w:numPr>
        <w:spacing w:after="120" w:line="240" w:lineRule="auto"/>
        <w:jc w:val="both"/>
        <w:rPr>
          <w:rFonts w:ascii="Arial" w:hAnsi="Arial" w:cs="Arial"/>
          <w:sz w:val="24"/>
          <w:szCs w:val="24"/>
        </w:rPr>
      </w:pPr>
      <w:proofErr w:type="gramStart"/>
      <w:r w:rsidRPr="00E5082E">
        <w:rPr>
          <w:rFonts w:ascii="Arial" w:hAnsi="Arial" w:cs="Arial"/>
          <w:sz w:val="24"/>
          <w:szCs w:val="24"/>
        </w:rPr>
        <w:t>nepodnikající</w:t>
      </w:r>
      <w:proofErr w:type="gramEnd"/>
      <w:r w:rsidRPr="00E5082E">
        <w:rPr>
          <w:rFonts w:ascii="Arial" w:hAnsi="Arial" w:cs="Arial"/>
          <w:sz w:val="24"/>
          <w:szCs w:val="24"/>
        </w:rPr>
        <w:t xml:space="preserve"> fyzická osoba (tj. „občan“) a</w:t>
      </w:r>
    </w:p>
    <w:p w:rsidR="00145F38" w:rsidRPr="00E5082E" w:rsidRDefault="00145F38" w:rsidP="00145F38">
      <w:pPr>
        <w:pStyle w:val="Odstavecseseznamem"/>
        <w:numPr>
          <w:ilvl w:val="2"/>
          <w:numId w:val="29"/>
        </w:numPr>
        <w:spacing w:after="120" w:line="240" w:lineRule="auto"/>
        <w:jc w:val="both"/>
        <w:rPr>
          <w:rFonts w:ascii="Arial" w:hAnsi="Arial" w:cs="Arial"/>
          <w:sz w:val="24"/>
          <w:szCs w:val="24"/>
        </w:rPr>
      </w:pPr>
      <w:proofErr w:type="gramStart"/>
      <w:r w:rsidRPr="00E5082E">
        <w:rPr>
          <w:rFonts w:ascii="Arial" w:hAnsi="Arial" w:cs="Arial"/>
          <w:sz w:val="24"/>
          <w:szCs w:val="24"/>
        </w:rPr>
        <w:t>podnikající</w:t>
      </w:r>
      <w:proofErr w:type="gramEnd"/>
      <w:r w:rsidRPr="00E5082E">
        <w:rPr>
          <w:rFonts w:ascii="Arial" w:hAnsi="Arial" w:cs="Arial"/>
          <w:sz w:val="24"/>
          <w:szCs w:val="24"/>
        </w:rPr>
        <w:t xml:space="preserve"> fyzická osoba, která měla příslušný majetek zahrnutý ve svém obchodním majetku ve smyslu § 4 odst. 4 ZDP (pouze vybrané případy); </w:t>
      </w:r>
    </w:p>
    <w:p w:rsidR="00145F38" w:rsidRPr="00E5082E" w:rsidRDefault="00145F38" w:rsidP="00145F38">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rsidR="00145F38" w:rsidRPr="00E5082E" w:rsidRDefault="00145F38" w:rsidP="00145F38">
      <w:pPr>
        <w:jc w:val="both"/>
        <w:rPr>
          <w:rFonts w:ascii="Arial" w:hAnsi="Arial" w:cs="Arial"/>
        </w:rPr>
      </w:pPr>
      <w:r w:rsidRPr="00E5082E">
        <w:rPr>
          <w:rFonts w:ascii="Arial" w:hAnsi="Arial" w:cs="Arial"/>
        </w:rPr>
        <w:t>Vkladatel vložil do obchodní korporace následující majetek:</w:t>
      </w:r>
    </w:p>
    <w:p w:rsidR="00145F38" w:rsidRPr="00E5082E" w:rsidRDefault="00145F38" w:rsidP="00145F38">
      <w:pPr>
        <w:pStyle w:val="Odstavecseseznamem"/>
        <w:numPr>
          <w:ilvl w:val="1"/>
          <w:numId w:val="28"/>
        </w:numPr>
        <w:spacing w:after="120" w:line="240" w:lineRule="auto"/>
        <w:jc w:val="both"/>
        <w:rPr>
          <w:rFonts w:ascii="Arial" w:hAnsi="Arial" w:cs="Arial"/>
          <w:sz w:val="24"/>
          <w:szCs w:val="24"/>
        </w:rPr>
      </w:pPr>
      <w:r w:rsidRPr="00E5082E">
        <w:rPr>
          <w:rFonts w:ascii="Arial" w:hAnsi="Arial" w:cs="Arial"/>
          <w:sz w:val="24"/>
          <w:szCs w:val="24"/>
        </w:rPr>
        <w:t>hmotný a nehmotný majetek dle ZDP;</w:t>
      </w:r>
    </w:p>
    <w:p w:rsidR="00145F38" w:rsidRPr="00E5082E" w:rsidRDefault="00145F38" w:rsidP="00145F38">
      <w:pPr>
        <w:pStyle w:val="Odstavecseseznamem"/>
        <w:numPr>
          <w:ilvl w:val="1"/>
          <w:numId w:val="28"/>
        </w:numPr>
        <w:spacing w:after="120" w:line="240" w:lineRule="auto"/>
        <w:jc w:val="both"/>
        <w:rPr>
          <w:rFonts w:ascii="Arial" w:hAnsi="Arial" w:cs="Arial"/>
          <w:sz w:val="24"/>
          <w:szCs w:val="24"/>
        </w:rPr>
      </w:pPr>
      <w:r w:rsidRPr="00E5082E">
        <w:rPr>
          <w:rFonts w:ascii="Arial" w:hAnsi="Arial" w:cs="Arial"/>
          <w:sz w:val="24"/>
          <w:szCs w:val="24"/>
        </w:rPr>
        <w:t>cenné papíry a podíly;</w:t>
      </w:r>
    </w:p>
    <w:p w:rsidR="00145F38" w:rsidRPr="00E5082E" w:rsidRDefault="00145F38" w:rsidP="00145F38">
      <w:pPr>
        <w:pStyle w:val="Odstavecseseznamem"/>
        <w:numPr>
          <w:ilvl w:val="1"/>
          <w:numId w:val="28"/>
        </w:numPr>
        <w:spacing w:after="120" w:line="240" w:lineRule="auto"/>
        <w:jc w:val="both"/>
        <w:rPr>
          <w:rFonts w:ascii="Arial" w:hAnsi="Arial" w:cs="Arial"/>
          <w:sz w:val="24"/>
          <w:szCs w:val="24"/>
        </w:rPr>
      </w:pPr>
      <w:r w:rsidRPr="00E5082E">
        <w:rPr>
          <w:rFonts w:ascii="Arial" w:hAnsi="Arial" w:cs="Arial"/>
          <w:sz w:val="24"/>
          <w:szCs w:val="24"/>
        </w:rPr>
        <w:t>pozemky; a</w:t>
      </w:r>
    </w:p>
    <w:p w:rsidR="00145F38" w:rsidRPr="00E5082E" w:rsidRDefault="00145F38" w:rsidP="00145F38">
      <w:pPr>
        <w:pStyle w:val="Odstavecseseznamem"/>
        <w:numPr>
          <w:ilvl w:val="1"/>
          <w:numId w:val="28"/>
        </w:numPr>
        <w:spacing w:after="120" w:line="240" w:lineRule="auto"/>
        <w:jc w:val="both"/>
        <w:rPr>
          <w:rFonts w:ascii="Arial" w:hAnsi="Arial" w:cs="Arial"/>
          <w:sz w:val="24"/>
          <w:szCs w:val="24"/>
        </w:rPr>
      </w:pPr>
      <w:proofErr w:type="gramStart"/>
      <w:r w:rsidRPr="00E5082E">
        <w:rPr>
          <w:rFonts w:ascii="Arial" w:hAnsi="Arial" w:cs="Arial"/>
          <w:sz w:val="24"/>
          <w:szCs w:val="24"/>
        </w:rPr>
        <w:t>pohledávky</w:t>
      </w:r>
      <w:proofErr w:type="gramEnd"/>
      <w:r w:rsidRPr="00E5082E">
        <w:rPr>
          <w:rFonts w:ascii="Arial" w:hAnsi="Arial" w:cs="Arial"/>
          <w:sz w:val="24"/>
          <w:szCs w:val="24"/>
        </w:rPr>
        <w:t>.</w:t>
      </w:r>
    </w:p>
    <w:p w:rsidR="00145F38" w:rsidRPr="00E5082E" w:rsidRDefault="00145F38" w:rsidP="00145F38">
      <w:pPr>
        <w:pStyle w:val="Odstavecseseznamem"/>
        <w:spacing w:after="0" w:line="240" w:lineRule="auto"/>
        <w:jc w:val="both"/>
        <w:rPr>
          <w:rFonts w:ascii="Arial" w:hAnsi="Arial" w:cs="Arial"/>
          <w:sz w:val="24"/>
          <w:szCs w:val="24"/>
        </w:rPr>
      </w:pPr>
    </w:p>
    <w:p w:rsidR="00145F38" w:rsidRDefault="00145F38" w:rsidP="00145F38">
      <w:pPr>
        <w:jc w:val="both"/>
        <w:rPr>
          <w:rFonts w:ascii="Arial" w:hAnsi="Arial" w:cs="Arial"/>
        </w:rPr>
      </w:pPr>
      <w:r w:rsidRPr="00E5082E">
        <w:rPr>
          <w:rFonts w:ascii="Arial" w:hAnsi="Arial" w:cs="Arial"/>
        </w:rPr>
        <w:t xml:space="preserve">Obchodním majetkem rozumíme majetek, který byl (nebo je) zahrnut v obchodním majetku vkladatele, fyzické osoby, ve smyslu § 4 odst. 4 ZDP, tj. </w:t>
      </w:r>
      <w:proofErr w:type="gramStart"/>
      <w:r w:rsidRPr="00E5082E">
        <w:rPr>
          <w:rFonts w:ascii="Arial" w:hAnsi="Arial" w:cs="Arial"/>
        </w:rPr>
        <w:t>vkladatel</w:t>
      </w:r>
      <w:proofErr w:type="gramEnd"/>
      <w:r w:rsidRPr="00E5082E">
        <w:rPr>
          <w:rFonts w:ascii="Arial" w:hAnsi="Arial" w:cs="Arial"/>
        </w:rPr>
        <w:t xml:space="preserve"> o tomto majetku účtoval ve smyslu ZoÚ nebo</w:t>
      </w:r>
      <w:r>
        <w:rPr>
          <w:rFonts w:ascii="Arial" w:hAnsi="Arial" w:cs="Arial"/>
        </w:rPr>
        <w:t xml:space="preserve"> </w:t>
      </w:r>
      <w:r w:rsidRPr="00E5082E">
        <w:rPr>
          <w:rFonts w:ascii="Arial" w:hAnsi="Arial" w:cs="Arial"/>
        </w:rPr>
        <w:t>o něm vedl daňovou evidenci ve smyslu § 7b ZDP.</w:t>
      </w:r>
    </w:p>
    <w:p w:rsidR="00145F38"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 xml:space="preserve">S ohledem </w:t>
      </w:r>
      <w:proofErr w:type="gramStart"/>
      <w:r w:rsidRPr="00E5082E">
        <w:rPr>
          <w:rFonts w:ascii="Arial" w:hAnsi="Arial" w:cs="Arial"/>
        </w:rPr>
        <w:t>na</w:t>
      </w:r>
      <w:proofErr w:type="gramEnd"/>
      <w:r w:rsidRPr="00E5082E">
        <w:rPr>
          <w:rFonts w:ascii="Arial" w:hAnsi="Arial" w:cs="Arial"/>
        </w:rPr>
        <w:t xml:space="preserve">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rsidR="00145F38" w:rsidRPr="00E5082E" w:rsidRDefault="00145F38" w:rsidP="00145F38">
      <w:pPr>
        <w:jc w:val="both"/>
        <w:rPr>
          <w:rFonts w:ascii="Arial" w:hAnsi="Arial" w:cs="Arial"/>
          <w:b/>
        </w:rPr>
      </w:pPr>
    </w:p>
    <w:p w:rsidR="00145F38" w:rsidRPr="00E5082E" w:rsidRDefault="00145F38" w:rsidP="00145F38">
      <w:pPr>
        <w:pStyle w:val="Nadpis1"/>
        <w:keepLines/>
        <w:numPr>
          <w:ilvl w:val="0"/>
          <w:numId w:val="27"/>
        </w:numPr>
        <w:autoSpaceDN w:val="0"/>
        <w:spacing w:before="0" w:after="0"/>
        <w:ind w:left="357" w:hanging="357"/>
        <w:jc w:val="both"/>
        <w:textAlignment w:val="baseline"/>
        <w:rPr>
          <w:b w:val="0"/>
          <w:color w:val="000000"/>
          <w:sz w:val="24"/>
          <w:szCs w:val="24"/>
        </w:rPr>
      </w:pPr>
      <w:r w:rsidRPr="00E5082E">
        <w:rPr>
          <w:color w:val="000000"/>
          <w:sz w:val="24"/>
          <w:szCs w:val="24"/>
        </w:rPr>
        <w:t>Návrh řešení</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 xml:space="preserve">Níže analyzujeme kategorie majetku zmíněné výše s ohledem </w:t>
      </w:r>
      <w:proofErr w:type="gramStart"/>
      <w:r w:rsidRPr="00E5082E">
        <w:rPr>
          <w:rFonts w:ascii="Arial" w:hAnsi="Arial" w:cs="Arial"/>
        </w:rPr>
        <w:t>na</w:t>
      </w:r>
      <w:proofErr w:type="gramEnd"/>
      <w:r w:rsidRPr="00E5082E">
        <w:rPr>
          <w:rFonts w:ascii="Arial" w:hAnsi="Arial" w:cs="Arial"/>
        </w:rPr>
        <w:t xml:space="preserve"> to, zda, případně jak ZDP upravuje v jejich případě daňovou nabývací cenu u přijímající obchodní</w:t>
      </w:r>
      <w:r w:rsidR="004F20FB">
        <w:rPr>
          <w:rFonts w:ascii="Arial" w:hAnsi="Arial" w:cs="Arial"/>
        </w:rPr>
        <w:t xml:space="preserve"> korporace či svěřenského fondu.</w:t>
      </w:r>
    </w:p>
    <w:p w:rsidR="00145F38" w:rsidRPr="00F74ADF" w:rsidRDefault="00145F38" w:rsidP="00145F38">
      <w:pPr>
        <w:pStyle w:val="Odstavecseseznamem"/>
        <w:spacing w:after="0" w:line="240" w:lineRule="auto"/>
        <w:ind w:left="0"/>
        <w:jc w:val="both"/>
        <w:rPr>
          <w:rFonts w:ascii="Arial" w:hAnsi="Arial" w:cs="Arial"/>
          <w:i/>
        </w:rPr>
      </w:pPr>
    </w:p>
    <w:p w:rsidR="00145F38" w:rsidRPr="00E5082E" w:rsidRDefault="00145F38" w:rsidP="00145F38">
      <w:pPr>
        <w:pStyle w:val="Bezmezer"/>
        <w:numPr>
          <w:ilvl w:val="0"/>
          <w:numId w:val="43"/>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rsidR="00145F38" w:rsidRPr="00E5082E" w:rsidRDefault="00145F38" w:rsidP="00145F38">
      <w:pPr>
        <w:pStyle w:val="Bezmezer"/>
        <w:ind w:left="720"/>
        <w:jc w:val="both"/>
        <w:rPr>
          <w:rFonts w:ascii="Arial" w:hAnsi="Arial" w:cs="Arial"/>
          <w:b/>
          <w:sz w:val="24"/>
          <w:szCs w:val="24"/>
        </w:rPr>
      </w:pPr>
    </w:p>
    <w:p w:rsidR="00145F38" w:rsidRPr="00E5082E" w:rsidRDefault="00145F38" w:rsidP="00145F38">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rsidR="00145F38" w:rsidRPr="00E5082E" w:rsidRDefault="00145F38" w:rsidP="00145F38">
      <w:pPr>
        <w:pStyle w:val="Bezmezer"/>
        <w:jc w:val="both"/>
        <w:rPr>
          <w:rFonts w:ascii="Arial" w:hAnsi="Arial" w:cs="Arial"/>
          <w:sz w:val="24"/>
          <w:szCs w:val="24"/>
        </w:rPr>
      </w:pPr>
    </w:p>
    <w:p w:rsidR="00145F38" w:rsidRPr="00E5082E" w:rsidRDefault="00145F38" w:rsidP="00145F38">
      <w:pPr>
        <w:pStyle w:val="Bezmezer"/>
        <w:numPr>
          <w:ilvl w:val="0"/>
          <w:numId w:val="31"/>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rsidR="00145F38" w:rsidRPr="00E5082E" w:rsidRDefault="00145F38" w:rsidP="00145F38">
      <w:pPr>
        <w:pStyle w:val="Bezmezer"/>
        <w:ind w:left="770"/>
        <w:jc w:val="both"/>
        <w:rPr>
          <w:rFonts w:ascii="Arial" w:hAnsi="Arial" w:cs="Arial"/>
          <w:sz w:val="24"/>
          <w:szCs w:val="24"/>
        </w:rPr>
      </w:pPr>
    </w:p>
    <w:p w:rsidR="00145F38" w:rsidRDefault="00145F38" w:rsidP="00145F38">
      <w:pPr>
        <w:pStyle w:val="Bezmezer"/>
        <w:numPr>
          <w:ilvl w:val="0"/>
          <w:numId w:val="31"/>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w:t>
      </w:r>
      <w:r>
        <w:rPr>
          <w:rFonts w:ascii="Arial" w:hAnsi="Arial" w:cs="Arial"/>
          <w:b/>
          <w:sz w:val="24"/>
          <w:szCs w:val="24"/>
        </w:rPr>
        <w:t> </w:t>
      </w:r>
      <w:r w:rsidRPr="00E5082E">
        <w:rPr>
          <w:rFonts w:ascii="Arial" w:hAnsi="Arial" w:cs="Arial"/>
          <w:b/>
          <w:sz w:val="24"/>
          <w:szCs w:val="24"/>
        </w:rPr>
        <w:t>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rsidR="00145F38" w:rsidRPr="00E5082E" w:rsidRDefault="00145F38" w:rsidP="00145F38">
      <w:pPr>
        <w:pStyle w:val="Bezmezer"/>
        <w:autoSpaceDN w:val="0"/>
        <w:jc w:val="both"/>
        <w:textAlignment w:val="baseline"/>
        <w:rPr>
          <w:rFonts w:ascii="Arial" w:hAnsi="Arial" w:cs="Arial"/>
          <w:sz w:val="24"/>
          <w:szCs w:val="24"/>
        </w:rPr>
      </w:pPr>
    </w:p>
    <w:p w:rsidR="00145F38" w:rsidRPr="00E5082E" w:rsidRDefault="00145F38" w:rsidP="00145F38">
      <w:pPr>
        <w:pStyle w:val="Bezmezer"/>
        <w:jc w:val="both"/>
        <w:rPr>
          <w:rFonts w:ascii="Arial" w:hAnsi="Arial" w:cs="Arial"/>
          <w:b/>
          <w:bCs/>
          <w:iCs/>
          <w:sz w:val="24"/>
          <w:szCs w:val="24"/>
        </w:rPr>
      </w:pPr>
      <w:proofErr w:type="gramStart"/>
      <w:r w:rsidRPr="00E5082E">
        <w:rPr>
          <w:rFonts w:ascii="Arial" w:hAnsi="Arial" w:cs="Arial"/>
          <w:b/>
          <w:bCs/>
          <w:iCs/>
          <w:sz w:val="24"/>
          <w:szCs w:val="24"/>
        </w:rPr>
        <w:t>II.1.</w:t>
      </w:r>
      <w:proofErr w:type="gramEnd"/>
      <w:r w:rsidRPr="00E5082E">
        <w:rPr>
          <w:rFonts w:ascii="Arial" w:hAnsi="Arial" w:cs="Arial"/>
          <w:b/>
          <w:bCs/>
          <w:iCs/>
          <w:sz w:val="24"/>
          <w:szCs w:val="24"/>
        </w:rPr>
        <w:t xml:space="preserve"> Výše nabývací ceny </w:t>
      </w:r>
    </w:p>
    <w:p w:rsidR="00145F38" w:rsidRPr="00E5082E" w:rsidRDefault="00145F38" w:rsidP="00145F38">
      <w:pPr>
        <w:pStyle w:val="Bezmezer"/>
        <w:jc w:val="both"/>
        <w:rPr>
          <w:rFonts w:ascii="Arial" w:hAnsi="Arial" w:cs="Arial"/>
          <w:b/>
          <w:bCs/>
          <w:iCs/>
          <w:sz w:val="24"/>
          <w:szCs w:val="24"/>
        </w:rPr>
      </w:pPr>
    </w:p>
    <w:p w:rsidR="00145F38" w:rsidRPr="00E5082E" w:rsidRDefault="00145F38" w:rsidP="00145F38">
      <w:pPr>
        <w:pStyle w:val="Bezmezer"/>
        <w:jc w:val="both"/>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p>
    <w:p w:rsidR="00145F38" w:rsidRPr="00E5082E" w:rsidRDefault="00145F38" w:rsidP="00145F38">
      <w:pPr>
        <w:pStyle w:val="Bezmezer"/>
        <w:jc w:val="both"/>
        <w:rPr>
          <w:rFonts w:ascii="Arial" w:hAnsi="Arial" w:cs="Arial"/>
          <w:bCs/>
          <w:iCs/>
          <w:sz w:val="24"/>
          <w:szCs w:val="24"/>
        </w:rPr>
      </w:pPr>
    </w:p>
    <w:p w:rsidR="00145F38" w:rsidRPr="005547D4" w:rsidRDefault="00145F38" w:rsidP="00145F38">
      <w:pPr>
        <w:pStyle w:val="Bezmezer"/>
        <w:numPr>
          <w:ilvl w:val="0"/>
          <w:numId w:val="36"/>
        </w:numPr>
        <w:autoSpaceDN w:val="0"/>
        <w:jc w:val="both"/>
        <w:textAlignment w:val="baseline"/>
        <w:rPr>
          <w:rFonts w:ascii="Arial" w:hAnsi="Arial" w:cs="Arial"/>
          <w:bCs/>
          <w:iCs/>
          <w:sz w:val="24"/>
          <w:szCs w:val="24"/>
        </w:rPr>
      </w:pPr>
      <w:r w:rsidRPr="005547D4">
        <w:rPr>
          <w:rFonts w:ascii="Arial" w:hAnsi="Arial" w:cs="Arial"/>
          <w:bCs/>
          <w:iCs/>
          <w:sz w:val="24"/>
          <w:szCs w:val="24"/>
        </w:rPr>
        <w:t xml:space="preserve">snižuje základ daně u příjmů z titulu výplat z držby cenných papírů a podílů nabytých vkladem/vyčleněním a z titulu snížení základního kapitálu, podílu na likvidačním zůstatku, výplaty vypořádacího podílu a výplaty ostatních kapitálových fondů/ážia a </w:t>
      </w:r>
    </w:p>
    <w:p w:rsidR="00145F38" w:rsidRPr="00E5082E" w:rsidRDefault="00145F38" w:rsidP="00145F38">
      <w:pPr>
        <w:pStyle w:val="Bezmezer"/>
        <w:jc w:val="both"/>
        <w:rPr>
          <w:rFonts w:ascii="Arial" w:hAnsi="Arial" w:cs="Arial"/>
          <w:bCs/>
          <w:iCs/>
          <w:sz w:val="24"/>
          <w:szCs w:val="24"/>
        </w:rPr>
      </w:pPr>
    </w:p>
    <w:p w:rsidR="00145F38" w:rsidRPr="00E5082E" w:rsidRDefault="00145F38" w:rsidP="00145F38">
      <w:pPr>
        <w:pStyle w:val="Bezmezer"/>
        <w:numPr>
          <w:ilvl w:val="0"/>
          <w:numId w:val="36"/>
        </w:numPr>
        <w:autoSpaceDN w:val="0"/>
        <w:jc w:val="both"/>
        <w:textAlignment w:val="baseline"/>
        <w:rPr>
          <w:rFonts w:ascii="Arial" w:hAnsi="Arial" w:cs="Arial"/>
          <w:bCs/>
          <w:iCs/>
          <w:sz w:val="24"/>
          <w:szCs w:val="24"/>
        </w:rPr>
      </w:pPr>
      <w:r w:rsidRPr="00E5082E">
        <w:rPr>
          <w:rFonts w:ascii="Arial" w:hAnsi="Arial" w:cs="Arial"/>
          <w:bCs/>
          <w:iCs/>
          <w:sz w:val="24"/>
          <w:szCs w:val="24"/>
        </w:rPr>
        <w:t xml:space="preserve">bude relevantní jako daňově uznatelný náklad v případě prodeje cenných papírů a podílů (a to buď celá nabývací </w:t>
      </w:r>
      <w:proofErr w:type="gramStart"/>
      <w:r w:rsidRPr="00E5082E">
        <w:rPr>
          <w:rFonts w:ascii="Arial" w:hAnsi="Arial" w:cs="Arial"/>
          <w:bCs/>
          <w:iCs/>
          <w:sz w:val="24"/>
          <w:szCs w:val="24"/>
        </w:rPr>
        <w:t>cena nebo</w:t>
      </w:r>
      <w:proofErr w:type="gramEnd"/>
      <w:r w:rsidRPr="00E5082E">
        <w:rPr>
          <w:rFonts w:ascii="Arial" w:hAnsi="Arial" w:cs="Arial"/>
          <w:bCs/>
          <w:iCs/>
          <w:sz w:val="24"/>
          <w:szCs w:val="24"/>
        </w:rPr>
        <w:t xml:space="preserve"> její část, pokud došlo k daňově relevantnímu přecenění cenných papírů).</w:t>
      </w:r>
    </w:p>
    <w:p w:rsidR="00145F38" w:rsidRPr="00E5082E" w:rsidRDefault="00145F38" w:rsidP="00145F38">
      <w:pPr>
        <w:pStyle w:val="Bezmezer"/>
        <w:jc w:val="both"/>
        <w:rPr>
          <w:rFonts w:ascii="Arial" w:hAnsi="Arial" w:cs="Arial"/>
          <w:b/>
          <w:bCs/>
          <w:iCs/>
          <w:sz w:val="24"/>
          <w:szCs w:val="24"/>
        </w:rPr>
      </w:pPr>
    </w:p>
    <w:p w:rsidR="00145F38" w:rsidRPr="00E5082E" w:rsidRDefault="00145F38" w:rsidP="00145F38">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rsidR="00145F38" w:rsidRPr="00E5082E" w:rsidRDefault="00145F38" w:rsidP="00145F38">
      <w:pPr>
        <w:pStyle w:val="Bezmezer"/>
        <w:jc w:val="both"/>
        <w:rPr>
          <w:rFonts w:ascii="Arial" w:hAnsi="Arial" w:cs="Arial"/>
          <w:bCs/>
          <w:iCs/>
          <w:sz w:val="24"/>
          <w:szCs w:val="24"/>
        </w:rPr>
      </w:pPr>
    </w:p>
    <w:p w:rsidR="00145F38" w:rsidRPr="00E5082E" w:rsidRDefault="00145F38" w:rsidP="00145F38">
      <w:pPr>
        <w:pStyle w:val="Bezmezer"/>
        <w:jc w:val="both"/>
        <w:rPr>
          <w:rFonts w:ascii="Arial" w:hAnsi="Arial" w:cs="Arial"/>
          <w:bCs/>
          <w:iCs/>
          <w:sz w:val="24"/>
          <w:szCs w:val="24"/>
        </w:rPr>
      </w:pPr>
    </w:p>
    <w:p w:rsidR="00145F38" w:rsidRPr="00E5082E" w:rsidRDefault="00145F38" w:rsidP="00145F38">
      <w:pPr>
        <w:pStyle w:val="Bezmezer"/>
        <w:jc w:val="both"/>
        <w:rPr>
          <w:rFonts w:ascii="Arial" w:hAnsi="Arial" w:cs="Arial"/>
          <w:b/>
          <w:bCs/>
          <w:iCs/>
          <w:sz w:val="24"/>
          <w:szCs w:val="24"/>
        </w:rPr>
      </w:pPr>
      <w:proofErr w:type="gramStart"/>
      <w:r>
        <w:rPr>
          <w:rFonts w:ascii="Arial" w:hAnsi="Arial" w:cs="Arial"/>
          <w:b/>
          <w:bCs/>
          <w:iCs/>
          <w:sz w:val="24"/>
          <w:szCs w:val="24"/>
        </w:rPr>
        <w:t>II.2.</w:t>
      </w:r>
      <w:proofErr w:type="gramEnd"/>
      <w:r>
        <w:rPr>
          <w:rFonts w:ascii="Arial" w:hAnsi="Arial" w:cs="Arial"/>
          <w:b/>
          <w:bCs/>
          <w:iCs/>
          <w:sz w:val="24"/>
          <w:szCs w:val="24"/>
        </w:rPr>
        <w:t xml:space="preserve"> </w:t>
      </w:r>
      <w:r w:rsidRPr="00E5082E">
        <w:rPr>
          <w:rFonts w:ascii="Arial" w:hAnsi="Arial" w:cs="Arial"/>
          <w:b/>
          <w:bCs/>
          <w:iCs/>
          <w:sz w:val="24"/>
          <w:szCs w:val="24"/>
        </w:rPr>
        <w:t>Prodej cenných papírů a podílů přijatých vkladem</w:t>
      </w:r>
    </w:p>
    <w:p w:rsidR="00145F38" w:rsidRPr="00E5082E" w:rsidRDefault="00145F38" w:rsidP="00145F38">
      <w:pPr>
        <w:pStyle w:val="Bezmezer"/>
        <w:jc w:val="both"/>
        <w:rPr>
          <w:rFonts w:ascii="Arial" w:hAnsi="Arial" w:cs="Arial"/>
          <w:bCs/>
          <w:iCs/>
          <w:sz w:val="24"/>
          <w:szCs w:val="24"/>
        </w:rPr>
      </w:pPr>
    </w:p>
    <w:p w:rsidR="00145F38" w:rsidRPr="00E5082E" w:rsidRDefault="00145F38" w:rsidP="00145F38">
      <w:pPr>
        <w:pStyle w:val="Bezmezer"/>
        <w:jc w:val="both"/>
        <w:rPr>
          <w:rFonts w:ascii="Arial" w:hAnsi="Arial" w:cs="Arial"/>
          <w:bCs/>
          <w:i/>
          <w:iCs/>
          <w:sz w:val="24"/>
          <w:szCs w:val="24"/>
        </w:rPr>
      </w:pPr>
      <w:r w:rsidRPr="00E5082E">
        <w:rPr>
          <w:rFonts w:ascii="Arial" w:hAnsi="Arial" w:cs="Arial"/>
          <w:bCs/>
          <w:iCs/>
          <w:sz w:val="24"/>
          <w:szCs w:val="24"/>
        </w:rPr>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rsidR="00145F38" w:rsidRPr="00E5082E" w:rsidRDefault="00145F38" w:rsidP="00145F38">
      <w:pPr>
        <w:pStyle w:val="Bezmezer"/>
        <w:jc w:val="both"/>
        <w:rPr>
          <w:rFonts w:ascii="Arial" w:hAnsi="Arial" w:cs="Arial"/>
          <w:bCs/>
          <w:iCs/>
          <w:sz w:val="24"/>
          <w:szCs w:val="24"/>
          <w:u w:val="single"/>
        </w:rPr>
      </w:pPr>
    </w:p>
    <w:p w:rsidR="00145F38" w:rsidRPr="00E5082E" w:rsidRDefault="00145F38" w:rsidP="00145F38">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rsidR="00145F38" w:rsidRPr="00E5082E" w:rsidRDefault="00145F38" w:rsidP="00145F38">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rsidR="00145F38" w:rsidRPr="00E5082E" w:rsidRDefault="00145F38" w:rsidP="00145F38">
      <w:pPr>
        <w:pStyle w:val="Odstavecseseznamem"/>
        <w:numPr>
          <w:ilvl w:val="0"/>
          <w:numId w:val="30"/>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rsidR="00145F38" w:rsidRPr="00E5082E" w:rsidRDefault="00145F38" w:rsidP="00145F38">
      <w:pPr>
        <w:pStyle w:val="Odstavecseseznamem"/>
        <w:numPr>
          <w:ilvl w:val="0"/>
          <w:numId w:val="30"/>
        </w:numPr>
        <w:spacing w:after="120" w:line="240" w:lineRule="auto"/>
        <w:jc w:val="both"/>
        <w:rPr>
          <w:rFonts w:ascii="Arial" w:hAnsi="Arial" w:cs="Arial"/>
          <w:sz w:val="24"/>
          <w:szCs w:val="24"/>
        </w:rPr>
      </w:pPr>
      <w:r w:rsidRPr="00E5082E">
        <w:rPr>
          <w:rFonts w:ascii="Arial" w:hAnsi="Arial" w:cs="Arial"/>
          <w:sz w:val="24"/>
          <w:szCs w:val="24"/>
        </w:rPr>
        <w:t>(</w:t>
      </w:r>
      <w:proofErr w:type="gramStart"/>
      <w:r w:rsidRPr="00E5082E">
        <w:rPr>
          <w:rFonts w:ascii="Arial" w:hAnsi="Arial" w:cs="Arial"/>
          <w:sz w:val="24"/>
          <w:szCs w:val="24"/>
        </w:rPr>
        <w:t>re-vklad</w:t>
      </w:r>
      <w:proofErr w:type="gramEnd"/>
      <w:r w:rsidRPr="00E5082E">
        <w:rPr>
          <w:rFonts w:ascii="Arial" w:hAnsi="Arial" w:cs="Arial"/>
          <w:sz w:val="24"/>
          <w:szCs w:val="24"/>
        </w:rPr>
        <w:t xml:space="preserve"> tj.) nabývací cenu podílu u příjemce majetku nabytého vkladem v případě, že majetek je dále vložen do obchodní korporace </w:t>
      </w:r>
    </w:p>
    <w:p w:rsidR="00145F38" w:rsidRPr="00E5082E" w:rsidRDefault="00145F38" w:rsidP="00145F38">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w:t>
      </w:r>
      <w:proofErr w:type="gramStart"/>
      <w:r w:rsidRPr="00E5082E">
        <w:rPr>
          <w:rFonts w:ascii="Arial" w:hAnsi="Arial" w:cs="Arial"/>
          <w:sz w:val="24"/>
          <w:szCs w:val="24"/>
        </w:rPr>
        <w:t>a</w:t>
      </w:r>
      <w:proofErr w:type="gramEnd"/>
      <w:r w:rsidRPr="00E5082E">
        <w:rPr>
          <w:rFonts w:ascii="Arial" w:hAnsi="Arial" w:cs="Arial"/>
          <w:sz w:val="24"/>
          <w:szCs w:val="24"/>
        </w:rPr>
        <w:t xml:space="preserve"> týká se majetku </w:t>
      </w:r>
    </w:p>
    <w:p w:rsidR="00145F38" w:rsidRPr="00E5082E" w:rsidRDefault="00145F38" w:rsidP="00145F38">
      <w:pPr>
        <w:pStyle w:val="Odstavecseseznamem"/>
        <w:numPr>
          <w:ilvl w:val="0"/>
          <w:numId w:val="30"/>
        </w:numPr>
        <w:spacing w:after="120" w:line="240" w:lineRule="auto"/>
        <w:jc w:val="both"/>
        <w:rPr>
          <w:rFonts w:ascii="Arial" w:hAnsi="Arial" w:cs="Arial"/>
          <w:sz w:val="24"/>
          <w:szCs w:val="24"/>
        </w:rPr>
      </w:pPr>
      <w:proofErr w:type="gramStart"/>
      <w:r w:rsidRPr="00E5082E">
        <w:rPr>
          <w:rFonts w:ascii="Arial" w:hAnsi="Arial" w:cs="Arial"/>
          <w:sz w:val="24"/>
          <w:szCs w:val="24"/>
        </w:rPr>
        <w:t>nabytého</w:t>
      </w:r>
      <w:proofErr w:type="gramEnd"/>
      <w:r w:rsidRPr="00E5082E">
        <w:rPr>
          <w:rFonts w:ascii="Arial" w:hAnsi="Arial" w:cs="Arial"/>
          <w:sz w:val="24"/>
          <w:szCs w:val="24"/>
        </w:rPr>
        <w:t xml:space="preserve">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rsidR="00145F38" w:rsidRPr="00E5082E" w:rsidRDefault="00145F38" w:rsidP="00145F38">
      <w:pPr>
        <w:pStyle w:val="Odstavecseseznamem"/>
        <w:numPr>
          <w:ilvl w:val="0"/>
          <w:numId w:val="30"/>
        </w:numPr>
        <w:spacing w:after="120" w:line="240" w:lineRule="auto"/>
        <w:jc w:val="both"/>
        <w:rPr>
          <w:rFonts w:ascii="Arial" w:hAnsi="Arial" w:cs="Arial"/>
          <w:sz w:val="24"/>
          <w:szCs w:val="24"/>
        </w:rPr>
      </w:pPr>
      <w:proofErr w:type="gramStart"/>
      <w:r w:rsidRPr="00E5082E">
        <w:rPr>
          <w:rFonts w:ascii="Arial" w:hAnsi="Arial" w:cs="Arial"/>
          <w:b/>
          <w:sz w:val="24"/>
          <w:szCs w:val="24"/>
        </w:rPr>
        <w:t>pokud</w:t>
      </w:r>
      <w:proofErr w:type="gramEnd"/>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rsidR="00145F38" w:rsidRPr="00E5082E" w:rsidRDefault="00145F38" w:rsidP="00145F38">
      <w:pPr>
        <w:jc w:val="both"/>
        <w:rPr>
          <w:rFonts w:ascii="Arial" w:hAnsi="Arial" w:cs="Arial"/>
        </w:rPr>
      </w:pPr>
      <w:r w:rsidRPr="00E5082E">
        <w:rPr>
          <w:rFonts w:ascii="Arial" w:hAnsi="Arial" w:cs="Arial"/>
        </w:rPr>
        <w:lastRenderedPageBreak/>
        <w:t>Pokud níže použijeme slovo „omezení</w:t>
      </w:r>
      <w:proofErr w:type="gramStart"/>
      <w:r w:rsidRPr="00E5082E">
        <w:rPr>
          <w:rFonts w:ascii="Arial" w:hAnsi="Arial" w:cs="Arial"/>
        </w:rPr>
        <w:t>“ či</w:t>
      </w:r>
      <w:proofErr w:type="gramEnd"/>
      <w:r w:rsidRPr="00E5082E">
        <w:rPr>
          <w:rFonts w:ascii="Arial" w:hAnsi="Arial" w:cs="Arial"/>
        </w:rPr>
        <w:t xml:space="preserve">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rsidR="00145F38" w:rsidRPr="00E5082E" w:rsidRDefault="00145F38" w:rsidP="00145F38">
      <w:pPr>
        <w:jc w:val="both"/>
        <w:rPr>
          <w:rFonts w:ascii="Arial" w:hAnsi="Arial" w:cs="Arial"/>
        </w:rPr>
      </w:pPr>
    </w:p>
    <w:p w:rsidR="00145F38" w:rsidRPr="00E5082E" w:rsidRDefault="00145F38" w:rsidP="00145F38">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rsidR="00145F38" w:rsidRPr="00E5082E" w:rsidRDefault="00145F38" w:rsidP="00145F38">
      <w:pPr>
        <w:jc w:val="both"/>
        <w:rPr>
          <w:rFonts w:ascii="Arial" w:hAnsi="Arial" w:cs="Arial"/>
          <w:bCs/>
          <w:iCs/>
        </w:rPr>
      </w:pPr>
    </w:p>
    <w:p w:rsidR="00145F38" w:rsidRPr="00E5082E" w:rsidRDefault="00145F38" w:rsidP="00145F38">
      <w:pPr>
        <w:pStyle w:val="Odstavecseseznamem"/>
        <w:numPr>
          <w:ilvl w:val="0"/>
          <w:numId w:val="33"/>
        </w:numPr>
        <w:contextualSpacing/>
        <w:jc w:val="both"/>
        <w:rPr>
          <w:rFonts w:ascii="Arial" w:hAnsi="Arial" w:cs="Arial"/>
          <w:bCs/>
          <w:iCs/>
          <w:sz w:val="24"/>
          <w:szCs w:val="24"/>
        </w:rPr>
      </w:pPr>
      <w:proofErr w:type="gramStart"/>
      <w:r w:rsidRPr="00E5082E">
        <w:rPr>
          <w:rFonts w:ascii="Arial" w:hAnsi="Arial" w:cs="Arial"/>
          <w:bCs/>
          <w:iCs/>
          <w:sz w:val="24"/>
          <w:szCs w:val="24"/>
        </w:rPr>
        <w:t>při</w:t>
      </w:r>
      <w:proofErr w:type="gramEnd"/>
      <w:r w:rsidRPr="00E5082E">
        <w:rPr>
          <w:rFonts w:ascii="Arial" w:hAnsi="Arial" w:cs="Arial"/>
          <w:bCs/>
          <w:iCs/>
          <w:sz w:val="24"/>
          <w:szCs w:val="24"/>
        </w:rPr>
        <w:t xml:space="preserve"> prodeji je pro obchodní korporaci či svěřenský fond relevantní pouze ustanovení § 24 odst. 2 písm. r) </w:t>
      </w:r>
      <w:proofErr w:type="gramStart"/>
      <w:r w:rsidRPr="00E5082E">
        <w:rPr>
          <w:rFonts w:ascii="Arial" w:hAnsi="Arial" w:cs="Arial"/>
          <w:bCs/>
          <w:iCs/>
          <w:sz w:val="24"/>
          <w:szCs w:val="24"/>
        </w:rPr>
        <w:t>a</w:t>
      </w:r>
      <w:proofErr w:type="gramEnd"/>
      <w:r w:rsidRPr="00E5082E">
        <w:rPr>
          <w:rFonts w:ascii="Arial" w:hAnsi="Arial" w:cs="Arial"/>
          <w:bCs/>
          <w:iCs/>
          <w:sz w:val="24"/>
          <w:szCs w:val="24"/>
        </w:rPr>
        <w:t xml:space="preserve"> w) ZDP a </w:t>
      </w:r>
      <w:r w:rsidRPr="00E5082E">
        <w:rPr>
          <w:rFonts w:ascii="Arial" w:hAnsi="Arial" w:cs="Arial"/>
          <w:b/>
          <w:bCs/>
          <w:iCs/>
          <w:sz w:val="24"/>
          <w:szCs w:val="24"/>
        </w:rPr>
        <w:t xml:space="preserve">nikoliv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w:t>
      </w:r>
      <w:proofErr w:type="gramStart"/>
      <w:r w:rsidRPr="00E5082E">
        <w:rPr>
          <w:rFonts w:ascii="Arial" w:hAnsi="Arial" w:cs="Arial"/>
          <w:b/>
          <w:bCs/>
          <w:iCs/>
          <w:sz w:val="24"/>
          <w:szCs w:val="24"/>
        </w:rPr>
        <w:t>od</w:t>
      </w:r>
      <w:proofErr w:type="gramEnd"/>
      <w:r w:rsidRPr="00E5082E">
        <w:rPr>
          <w:rFonts w:ascii="Arial" w:hAnsi="Arial" w:cs="Arial"/>
          <w:b/>
          <w:bCs/>
          <w:iCs/>
          <w:sz w:val="24"/>
          <w:szCs w:val="24"/>
        </w:rPr>
        <w:t xml:space="preserve"> fyzické osoby z jejího „soukromého majetku“</w:t>
      </w:r>
      <w:r w:rsidRPr="00E5082E">
        <w:rPr>
          <w:rFonts w:ascii="Arial" w:hAnsi="Arial" w:cs="Arial"/>
          <w:bCs/>
          <w:iCs/>
          <w:sz w:val="24"/>
          <w:szCs w:val="24"/>
        </w:rPr>
        <w:t xml:space="preserve">. </w:t>
      </w:r>
    </w:p>
    <w:p w:rsidR="00145F38" w:rsidRDefault="00145F38" w:rsidP="00145F38">
      <w:pPr>
        <w:pStyle w:val="Odstavecseseznamem"/>
        <w:numPr>
          <w:ilvl w:val="0"/>
          <w:numId w:val="33"/>
        </w:numPr>
        <w:contextualSpacing/>
        <w:jc w:val="both"/>
        <w:rPr>
          <w:rFonts w:ascii="Arial" w:hAnsi="Arial" w:cs="Arial"/>
          <w:b/>
          <w:bCs/>
          <w:iCs/>
          <w:sz w:val="24"/>
          <w:szCs w:val="24"/>
        </w:rPr>
      </w:pPr>
      <w:proofErr w:type="gramStart"/>
      <w:r w:rsidRPr="00E5082E">
        <w:rPr>
          <w:rFonts w:ascii="Arial" w:hAnsi="Arial" w:cs="Arial"/>
          <w:bCs/>
          <w:iCs/>
          <w:sz w:val="24"/>
          <w:szCs w:val="24"/>
        </w:rPr>
        <w:t>při</w:t>
      </w:r>
      <w:proofErr w:type="gramEnd"/>
      <w:r w:rsidRPr="00E5082E">
        <w:rPr>
          <w:rFonts w:ascii="Arial" w:hAnsi="Arial" w:cs="Arial"/>
          <w:bCs/>
          <w:iCs/>
          <w:sz w:val="24"/>
          <w:szCs w:val="24"/>
        </w:rPr>
        <w:t xml:space="preserve"> prodeji je pro obchodní korporaci či svěřenský fond relevantní ustanovení §</w:t>
      </w:r>
      <w:r>
        <w:rPr>
          <w:rFonts w:ascii="Arial" w:hAnsi="Arial" w:cs="Arial"/>
          <w:bCs/>
          <w:iCs/>
          <w:sz w:val="24"/>
          <w:szCs w:val="24"/>
        </w:rPr>
        <w:t> </w:t>
      </w:r>
      <w:r w:rsidRPr="00E5082E">
        <w:rPr>
          <w:rFonts w:ascii="Arial" w:hAnsi="Arial" w:cs="Arial"/>
          <w:bCs/>
          <w:iCs/>
          <w:sz w:val="24"/>
          <w:szCs w:val="24"/>
        </w:rPr>
        <w:t xml:space="preserve">24 odst. 2 písm. r) </w:t>
      </w:r>
      <w:proofErr w:type="gramStart"/>
      <w:r w:rsidRPr="00E5082E">
        <w:rPr>
          <w:rFonts w:ascii="Arial" w:hAnsi="Arial" w:cs="Arial"/>
          <w:bCs/>
          <w:iCs/>
          <w:sz w:val="24"/>
          <w:szCs w:val="24"/>
        </w:rPr>
        <w:t>a</w:t>
      </w:r>
      <w:proofErr w:type="gramEnd"/>
      <w:r w:rsidRPr="00E5082E">
        <w:rPr>
          <w:rFonts w:ascii="Arial" w:hAnsi="Arial" w:cs="Arial"/>
          <w:bCs/>
          <w:iCs/>
          <w:sz w:val="24"/>
          <w:szCs w:val="24"/>
        </w:rPr>
        <w:t xml:space="preserve"> w) ZDP a </w:t>
      </w:r>
      <w:r w:rsidRPr="00E5082E">
        <w:rPr>
          <w:rFonts w:ascii="Arial" w:hAnsi="Arial" w:cs="Arial"/>
          <w:b/>
          <w:bCs/>
          <w:iCs/>
          <w:sz w:val="24"/>
          <w:szCs w:val="24"/>
        </w:rPr>
        <w:t xml:space="preserve">také limit </w:t>
      </w:r>
      <w:r w:rsidRPr="00E5082E">
        <w:rPr>
          <w:rFonts w:ascii="Arial" w:hAnsi="Arial" w:cs="Arial"/>
          <w:bCs/>
          <w:iCs/>
          <w:sz w:val="24"/>
          <w:szCs w:val="24"/>
        </w:rPr>
        <w:t>§ 24 odst. 11 ZDP, pokud se prodává podíl či cenný papír nabytý vkladem/vyčleněním</w:t>
      </w:r>
      <w:r w:rsidRPr="00E5082E">
        <w:rPr>
          <w:rFonts w:ascii="Arial" w:hAnsi="Arial" w:cs="Arial"/>
          <w:b/>
          <w:bCs/>
          <w:iCs/>
          <w:sz w:val="24"/>
          <w:szCs w:val="24"/>
        </w:rPr>
        <w:t xml:space="preserve"> </w:t>
      </w:r>
      <w:proofErr w:type="gramStart"/>
      <w:r w:rsidRPr="00E5082E">
        <w:rPr>
          <w:rFonts w:ascii="Arial" w:hAnsi="Arial" w:cs="Arial"/>
          <w:b/>
          <w:bCs/>
          <w:iCs/>
          <w:sz w:val="24"/>
          <w:szCs w:val="24"/>
        </w:rPr>
        <w:t>od</w:t>
      </w:r>
      <w:proofErr w:type="gramEnd"/>
      <w:r w:rsidRPr="00E5082E">
        <w:rPr>
          <w:rFonts w:ascii="Arial" w:hAnsi="Arial" w:cs="Arial"/>
          <w:b/>
          <w:bCs/>
          <w:iCs/>
          <w:sz w:val="24"/>
          <w:szCs w:val="24"/>
        </w:rPr>
        <w:t xml:space="preserve"> účetní jednotky nebo fyzické osoby, která majetek </w:t>
      </w:r>
      <w:r w:rsidRPr="00E5082E">
        <w:rPr>
          <w:rFonts w:ascii="Arial" w:hAnsi="Arial" w:cs="Arial"/>
          <w:b/>
          <w:bCs/>
          <w:iCs/>
          <w:sz w:val="24"/>
          <w:szCs w:val="24"/>
          <w:u w:val="single"/>
        </w:rPr>
        <w:t xml:space="preserve">v okamžiku </w:t>
      </w:r>
      <w:r w:rsidRPr="00E5082E">
        <w:rPr>
          <w:rFonts w:ascii="Arial" w:hAnsi="Arial" w:cs="Arial"/>
          <w:b/>
          <w:bCs/>
          <w:iCs/>
          <w:sz w:val="24"/>
          <w:szCs w:val="24"/>
        </w:rPr>
        <w:t>vkladu/vyčlenění evidovala v daňové evidenci/měla ve svém obchodním majetku.</w:t>
      </w:r>
    </w:p>
    <w:p w:rsidR="00912A04" w:rsidRDefault="00912A04" w:rsidP="00912A04">
      <w:pPr>
        <w:pStyle w:val="Odstavecseseznamem"/>
        <w:ind w:left="0"/>
        <w:jc w:val="both"/>
        <w:rPr>
          <w:rFonts w:ascii="Arial" w:hAnsi="Arial" w:cs="Arial"/>
          <w:bCs/>
          <w:sz w:val="24"/>
          <w:szCs w:val="24"/>
        </w:rPr>
      </w:pPr>
    </w:p>
    <w:p w:rsidR="00912A04" w:rsidRPr="00D41E34" w:rsidRDefault="00912A04" w:rsidP="00912A04">
      <w:pPr>
        <w:pStyle w:val="Odstavecseseznamem"/>
        <w:spacing w:after="0" w:line="240" w:lineRule="auto"/>
        <w:ind w:left="0"/>
        <w:jc w:val="both"/>
        <w:rPr>
          <w:rFonts w:ascii="Arial" w:hAnsi="Arial" w:cs="Arial"/>
          <w:sz w:val="24"/>
          <w:szCs w:val="24"/>
          <w:u w:val="single"/>
        </w:rPr>
      </w:pPr>
    </w:p>
    <w:p w:rsidR="007E3B66" w:rsidRDefault="007E3B66" w:rsidP="007E3B66">
      <w:pPr>
        <w:rPr>
          <w:rFonts w:ascii="Arial" w:hAnsi="Arial" w:cs="Arial"/>
          <w:b/>
          <w:sz w:val="32"/>
          <w:szCs w:val="32"/>
          <w:highlight w:val="yellow"/>
          <w:u w:val="single"/>
          <w:lang w:val="cs-CZ" w:eastAsia="cs-CZ"/>
        </w:rPr>
      </w:pPr>
    </w:p>
    <w:p w:rsidR="00263379" w:rsidRDefault="00263379" w:rsidP="00263379">
      <w:pPr>
        <w:jc w:val="center"/>
        <w:rPr>
          <w:rFonts w:ascii="Arial" w:hAnsi="Arial" w:cs="Arial"/>
          <w:b/>
          <w:sz w:val="32"/>
          <w:szCs w:val="32"/>
          <w:highlight w:val="yellow"/>
          <w:u w:val="single"/>
          <w:lang w:val="cs-CZ" w:eastAsia="cs-CZ"/>
        </w:rPr>
      </w:pPr>
    </w:p>
    <w:p w:rsidR="00263379" w:rsidRDefault="00263379" w:rsidP="00263379">
      <w:pPr>
        <w:jc w:val="center"/>
        <w:rPr>
          <w:rFonts w:ascii="Arial" w:hAnsi="Arial" w:cs="Arial"/>
          <w:b/>
          <w:sz w:val="32"/>
          <w:szCs w:val="32"/>
          <w:highlight w:val="yellow"/>
          <w:u w:val="single"/>
          <w:lang w:val="cs-CZ" w:eastAsia="cs-CZ"/>
        </w:rPr>
      </w:pPr>
    </w:p>
    <w:p w:rsidR="001509DB" w:rsidRPr="00576525" w:rsidRDefault="001509DB">
      <w:pPr>
        <w:rPr>
          <w:rFonts w:ascii="Arial" w:hAnsi="Arial" w:cs="Arial"/>
          <w:i/>
        </w:rPr>
      </w:pPr>
      <w:r w:rsidRPr="00576525">
        <w:rPr>
          <w:rFonts w:ascii="Arial" w:hAnsi="Arial" w:cs="Arial"/>
          <w:i/>
        </w:rPr>
        <w:br w:type="page"/>
      </w:r>
    </w:p>
    <w:p w:rsidR="00822E0F" w:rsidRPr="004156A6" w:rsidRDefault="00822E0F" w:rsidP="00822E0F">
      <w:pPr>
        <w:jc w:val="center"/>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lastRenderedPageBreak/>
        <w:t>PŘÍSPĚVEK</w:t>
      </w:r>
      <w:r w:rsidRPr="004156A6">
        <w:rPr>
          <w:rFonts w:ascii="Arial" w:hAnsi="Arial" w:cs="Arial"/>
          <w:b/>
          <w:sz w:val="30"/>
          <w:szCs w:val="30"/>
          <w:highlight w:val="yellow"/>
          <w:u w:val="single"/>
          <w:lang w:val="cs-CZ" w:eastAsia="cs-CZ"/>
        </w:rPr>
        <w:t xml:space="preserve"> UZAVŘEN </w:t>
      </w:r>
      <w:r>
        <w:rPr>
          <w:rFonts w:ascii="Arial" w:hAnsi="Arial" w:cs="Arial"/>
          <w:b/>
          <w:sz w:val="30"/>
          <w:szCs w:val="30"/>
          <w:highlight w:val="yellow"/>
          <w:u w:val="single"/>
          <w:lang w:val="cs-CZ" w:eastAsia="cs-CZ"/>
        </w:rPr>
        <w:t>BEZ ROZPORU</w:t>
      </w:r>
      <w:r w:rsidRPr="004156A6">
        <w:rPr>
          <w:rFonts w:ascii="Arial" w:hAnsi="Arial" w:cs="Arial"/>
          <w:b/>
          <w:sz w:val="30"/>
          <w:szCs w:val="30"/>
          <w:highlight w:val="yellow"/>
          <w:u w:val="single"/>
          <w:lang w:val="cs-CZ" w:eastAsia="cs-CZ"/>
        </w:rPr>
        <w:t xml:space="preserve"> KE DNI </w:t>
      </w:r>
      <w:proofErr w:type="gramStart"/>
      <w:r>
        <w:rPr>
          <w:rFonts w:ascii="Arial" w:hAnsi="Arial" w:cs="Arial"/>
          <w:b/>
          <w:sz w:val="30"/>
          <w:szCs w:val="30"/>
          <w:highlight w:val="yellow"/>
          <w:u w:val="single"/>
          <w:lang w:val="cs-CZ" w:eastAsia="cs-CZ"/>
        </w:rPr>
        <w:t>24.11.</w:t>
      </w:r>
      <w:r w:rsidRPr="004156A6">
        <w:rPr>
          <w:rFonts w:ascii="Arial" w:hAnsi="Arial" w:cs="Arial"/>
          <w:b/>
          <w:sz w:val="30"/>
          <w:szCs w:val="30"/>
          <w:highlight w:val="yellow"/>
          <w:u w:val="single"/>
          <w:lang w:val="cs-CZ" w:eastAsia="cs-CZ"/>
        </w:rPr>
        <w:t>2021</w:t>
      </w:r>
      <w:proofErr w:type="gramEnd"/>
    </w:p>
    <w:p w:rsidR="007E5048" w:rsidRDefault="007E5048" w:rsidP="007E5048">
      <w:pPr>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F74466" w:rsidRDefault="00F74466" w:rsidP="00F74466">
      <w:pPr>
        <w:rPr>
          <w:rFonts w:ascii="Arial" w:hAnsi="Arial" w:cs="Arial"/>
          <w:b/>
          <w:color w:val="000000"/>
          <w:u w:val="single"/>
          <w:shd w:val="clear" w:color="auto" w:fill="FFFFFF"/>
        </w:rPr>
      </w:pPr>
    </w:p>
    <w:p w:rsidR="00006DD5" w:rsidRDefault="00006DD5" w:rsidP="00006DD5">
      <w:pPr>
        <w:pStyle w:val="Zkladntext"/>
        <w:spacing w:after="0"/>
        <w:jc w:val="both"/>
        <w:rPr>
          <w:rFonts w:ascii="Arial" w:hAnsi="Arial" w:cs="Arial"/>
          <w:b/>
          <w:shd w:val="clear" w:color="auto" w:fill="FFFFFF"/>
        </w:rPr>
      </w:pPr>
      <w:r>
        <w:rPr>
          <w:rFonts w:ascii="Arial" w:hAnsi="Arial" w:cs="Arial"/>
          <w:b/>
          <w:shd w:val="clear" w:color="auto" w:fill="FFFFFF"/>
        </w:rPr>
        <w:t xml:space="preserve">586/15.09.2021 </w:t>
      </w:r>
      <w:r w:rsidRPr="00D373B7">
        <w:rPr>
          <w:rFonts w:ascii="Arial" w:hAnsi="Arial" w:cs="Arial"/>
          <w:b/>
          <w:shd w:val="clear" w:color="auto" w:fill="FFFFFF"/>
        </w:rPr>
        <w:t>Oprava základu daně při zpětných platbách zdravotním pojišťovnám</w:t>
      </w:r>
      <w:r>
        <w:rPr>
          <w:rFonts w:ascii="Arial" w:hAnsi="Arial" w:cs="Arial"/>
          <w:b/>
          <w:shd w:val="clear" w:color="auto" w:fill="FFFFFF"/>
        </w:rPr>
        <w:t xml:space="preserve"> </w:t>
      </w:r>
    </w:p>
    <w:p w:rsidR="00006DD5" w:rsidRDefault="00006DD5" w:rsidP="00006DD5">
      <w:pPr>
        <w:pStyle w:val="Zkladntext"/>
        <w:spacing w:after="0"/>
        <w:jc w:val="both"/>
        <w:rPr>
          <w:rFonts w:ascii="Arial" w:hAnsi="Arial" w:cs="Arial"/>
          <w:b/>
          <w:shd w:val="clear" w:color="auto" w:fill="FFFFFF"/>
        </w:rPr>
      </w:pPr>
    </w:p>
    <w:p w:rsidR="00006DD5" w:rsidRDefault="00006DD5" w:rsidP="00006DD5">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t>Ing. Martin Novák, daňový poradce, č. osv. 4523</w:t>
      </w:r>
    </w:p>
    <w:p w:rsidR="00006DD5" w:rsidRPr="00D373B7" w:rsidRDefault="00006DD5" w:rsidP="00006DD5">
      <w:pPr>
        <w:pStyle w:val="Zkladntext"/>
        <w:spacing w:after="0"/>
        <w:jc w:val="both"/>
        <w:rPr>
          <w:rFonts w:ascii="Arial" w:hAnsi="Arial" w:cs="Arial"/>
        </w:rPr>
      </w:pPr>
      <w:r>
        <w:rPr>
          <w:rFonts w:ascii="Arial" w:hAnsi="Arial" w:cs="Arial"/>
          <w:shd w:val="clear" w:color="auto" w:fill="FFFFFF"/>
        </w:rPr>
        <w:tab/>
      </w:r>
      <w:r>
        <w:rPr>
          <w:rFonts w:ascii="Arial" w:hAnsi="Arial" w:cs="Arial"/>
          <w:shd w:val="clear" w:color="auto" w:fill="FFFFFF"/>
        </w:rPr>
        <w:tab/>
        <w:t>Ing. Tomáš Synák, daňový poradce, č. osv. 5199</w:t>
      </w:r>
    </w:p>
    <w:p w:rsidR="00006DD5" w:rsidRPr="007E5048" w:rsidRDefault="00006DD5" w:rsidP="00006DD5">
      <w:pPr>
        <w:autoSpaceDE w:val="0"/>
        <w:autoSpaceDN w:val="0"/>
        <w:adjustRightInd w:val="0"/>
        <w:jc w:val="both"/>
        <w:rPr>
          <w:rFonts w:ascii="Arial" w:hAnsi="Arial" w:cs="Arial"/>
          <w:bCs/>
          <w:lang w:val="cs-CZ"/>
        </w:rPr>
      </w:pPr>
    </w:p>
    <w:p w:rsidR="00006DD5" w:rsidRPr="007E5048" w:rsidRDefault="00006DD5" w:rsidP="00006DD5">
      <w:pPr>
        <w:pStyle w:val="Odstavecseseznamem"/>
        <w:numPr>
          <w:ilvl w:val="0"/>
          <w:numId w:val="40"/>
        </w:numPr>
        <w:spacing w:after="0" w:line="259" w:lineRule="auto"/>
        <w:ind w:left="0" w:firstLine="0"/>
        <w:contextualSpacing/>
        <w:jc w:val="both"/>
        <w:rPr>
          <w:rFonts w:ascii="Arial" w:hAnsi="Arial" w:cs="Arial"/>
          <w:sz w:val="24"/>
          <w:szCs w:val="24"/>
        </w:rPr>
      </w:pPr>
      <w:r w:rsidRPr="007E5048">
        <w:rPr>
          <w:rFonts w:ascii="Arial" w:hAnsi="Arial" w:cs="Arial"/>
          <w:b/>
          <w:bCs/>
          <w:color w:val="383838"/>
          <w:sz w:val="24"/>
          <w:szCs w:val="24"/>
          <w:shd w:val="clear" w:color="auto" w:fill="FFFFFF"/>
        </w:rPr>
        <w:t>Účel příspěvku</w:t>
      </w:r>
    </w:p>
    <w:p w:rsidR="00006DD5" w:rsidRPr="007E5048" w:rsidRDefault="00006DD5" w:rsidP="00006DD5">
      <w:pPr>
        <w:spacing w:line="259" w:lineRule="auto"/>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Tento příspěvek volně navazuje </w:t>
      </w:r>
      <w:proofErr w:type="gramStart"/>
      <w:r w:rsidRPr="007E5048">
        <w:rPr>
          <w:rFonts w:ascii="Arial" w:hAnsi="Arial" w:cs="Arial"/>
        </w:rPr>
        <w:t>na</w:t>
      </w:r>
      <w:proofErr w:type="gramEnd"/>
      <w:r w:rsidRPr="007E5048">
        <w:rPr>
          <w:rFonts w:ascii="Arial" w:hAnsi="Arial" w:cs="Arial"/>
        </w:rPr>
        <w:t xml:space="preserve"> předcházející příspěvky týkající se problematiky tzv. „</w:t>
      </w:r>
      <w:proofErr w:type="gramStart"/>
      <w:r w:rsidRPr="007E5048">
        <w:rPr>
          <w:rFonts w:ascii="Arial" w:hAnsi="Arial" w:cs="Arial"/>
        </w:rPr>
        <w:t>nepřímých</w:t>
      </w:r>
      <w:proofErr w:type="gramEnd"/>
      <w:r w:rsidRPr="007E5048">
        <w:rPr>
          <w:rFonts w:ascii="Arial" w:hAnsi="Arial" w:cs="Arial"/>
        </w:rPr>
        <w:t xml:space="preserve"> bonusů“.</w:t>
      </w:r>
      <w:r w:rsidRPr="007E5048">
        <w:rPr>
          <w:rFonts w:ascii="Arial" w:hAnsi="Arial" w:cs="Arial"/>
          <w:vertAlign w:val="superscript"/>
        </w:rPr>
        <w:footnoteReference w:id="1"/>
      </w:r>
      <w:r w:rsidRPr="007E5048">
        <w:rPr>
          <w:rFonts w:ascii="Arial" w:hAnsi="Arial" w:cs="Arial"/>
        </w:rPr>
        <w:t xml:space="preserve"> Jeho účelem je především sjednocení výkladu evropské judikatury ve vztahu k tuzemské praxi týkající se poskytování zpětných plateb zdravotním pojišťovnám farmaceutickými společnostmi.</w:t>
      </w:r>
    </w:p>
    <w:p w:rsidR="00006DD5" w:rsidRPr="007E5048" w:rsidRDefault="00006DD5" w:rsidP="00006DD5">
      <w:pPr>
        <w:spacing w:line="259" w:lineRule="auto"/>
        <w:jc w:val="both"/>
        <w:rPr>
          <w:rFonts w:ascii="Arial" w:hAnsi="Arial" w:cs="Arial"/>
        </w:rPr>
      </w:pPr>
    </w:p>
    <w:p w:rsidR="00006DD5" w:rsidRPr="007E5048" w:rsidRDefault="00006DD5" w:rsidP="00006DD5">
      <w:pPr>
        <w:pStyle w:val="Odstavecseseznamem"/>
        <w:numPr>
          <w:ilvl w:val="0"/>
          <w:numId w:val="40"/>
        </w:numPr>
        <w:spacing w:after="0" w:line="259" w:lineRule="auto"/>
        <w:ind w:left="0" w:firstLine="0"/>
        <w:contextualSpacing/>
        <w:jc w:val="both"/>
        <w:rPr>
          <w:rFonts w:ascii="Arial" w:hAnsi="Arial" w:cs="Arial"/>
          <w:b/>
          <w:bCs/>
          <w:sz w:val="24"/>
          <w:szCs w:val="24"/>
        </w:rPr>
      </w:pPr>
      <w:r w:rsidRPr="007E5048">
        <w:rPr>
          <w:rFonts w:ascii="Arial" w:hAnsi="Arial" w:cs="Arial"/>
          <w:b/>
          <w:bCs/>
          <w:sz w:val="24"/>
          <w:szCs w:val="24"/>
        </w:rPr>
        <w:t>Právní úprava a její výklady</w:t>
      </w:r>
    </w:p>
    <w:p w:rsidR="00006DD5" w:rsidRPr="007E5048" w:rsidRDefault="00006DD5" w:rsidP="00006DD5">
      <w:pPr>
        <w:spacing w:line="259" w:lineRule="auto"/>
        <w:jc w:val="both"/>
        <w:rPr>
          <w:rFonts w:ascii="Arial" w:hAnsi="Arial" w:cs="Arial"/>
          <w:b/>
          <w:bCs/>
        </w:rPr>
      </w:pPr>
    </w:p>
    <w:p w:rsidR="00006DD5" w:rsidRPr="007E5048" w:rsidRDefault="00006DD5" w:rsidP="00006DD5">
      <w:pPr>
        <w:spacing w:line="259" w:lineRule="auto"/>
        <w:jc w:val="both"/>
        <w:rPr>
          <w:rFonts w:ascii="Arial" w:hAnsi="Arial" w:cs="Arial"/>
          <w:u w:val="single"/>
        </w:rPr>
      </w:pPr>
      <w:r w:rsidRPr="007E5048">
        <w:rPr>
          <w:rFonts w:ascii="Arial" w:hAnsi="Arial" w:cs="Arial"/>
          <w:u w:val="single"/>
        </w:rPr>
        <w:t>Judikatura SDEU</w:t>
      </w:r>
    </w:p>
    <w:p w:rsidR="00006DD5" w:rsidRPr="007E5048" w:rsidRDefault="00006DD5" w:rsidP="00006DD5">
      <w:pPr>
        <w:ind w:right="1"/>
        <w:jc w:val="both"/>
        <w:rPr>
          <w:rFonts w:ascii="Arial" w:hAnsi="Arial" w:cs="Arial"/>
        </w:rPr>
      </w:pPr>
      <w:r w:rsidRPr="007E5048">
        <w:rPr>
          <w:rFonts w:ascii="Arial" w:hAnsi="Arial" w:cs="Arial"/>
        </w:rPr>
        <w:t xml:space="preserve">Podle rozsudku Soudního dvora Evropské unie („SDEU“) ve věci C-462/16 Boehringer Ingelheim Pharma GmbH &amp; Co. KG představuje bonus, který poskytne farmaceutická společnost zdravotní pojišťovně, snížení základu daně na straně farmaceutické společnosti v situaci, kdy velkoobchodníci dodávají léčivé přípravky lékárnám, které je </w:t>
      </w:r>
      <w:proofErr w:type="gramStart"/>
      <w:r w:rsidRPr="007E5048">
        <w:rPr>
          <w:rFonts w:ascii="Arial" w:hAnsi="Arial" w:cs="Arial"/>
        </w:rPr>
        <w:t>vydávají</w:t>
      </w:r>
      <w:proofErr w:type="gramEnd"/>
      <w:r w:rsidRPr="007E5048">
        <w:rPr>
          <w:rFonts w:ascii="Arial" w:hAnsi="Arial" w:cs="Arial"/>
        </w:rPr>
        <w:t xml:space="preserve"> osobám krytým zdravotním pojištěním, z něhož je takto pojištěným osobám hrazena cena za nákup léčivých přípravků. </w:t>
      </w:r>
    </w:p>
    <w:p w:rsidR="00006DD5" w:rsidRPr="007E5048" w:rsidRDefault="00006DD5" w:rsidP="00006DD5">
      <w:pPr>
        <w:spacing w:after="40" w:line="259" w:lineRule="auto"/>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SDEU v souladu se svou předchozí judikaturou</w:t>
      </w:r>
      <w:r w:rsidRPr="007E5048">
        <w:rPr>
          <w:rFonts w:ascii="Arial" w:hAnsi="Arial" w:cs="Arial"/>
          <w:vertAlign w:val="superscript"/>
        </w:rPr>
        <w:footnoteReference w:id="2"/>
      </w:r>
      <w:r w:rsidRPr="007E5048">
        <w:rPr>
          <w:rFonts w:ascii="Arial" w:hAnsi="Arial" w:cs="Arial"/>
        </w:rPr>
        <w:t xml:space="preserve"> připomněl, že čl. 90 odst. 1 směrnice o DPH v zásadě stanovuje členským státům povinnost, aby snížily základ </w:t>
      </w:r>
      <w:proofErr w:type="gramStart"/>
      <w:r w:rsidRPr="007E5048">
        <w:rPr>
          <w:rFonts w:ascii="Arial" w:hAnsi="Arial" w:cs="Arial"/>
        </w:rPr>
        <w:t>daně</w:t>
      </w:r>
      <w:proofErr w:type="gramEnd"/>
      <w:r w:rsidRPr="007E5048">
        <w:rPr>
          <w:rFonts w:ascii="Arial" w:hAnsi="Arial" w:cs="Arial"/>
        </w:rPr>
        <w:t xml:space="preserve"> pokaždé, když osoba povinná k dani neobdrží po uzavření transakce část nebo celé protiplnění. K tomu SDEU uzavřel, že skutečnost, že v této situaci není přímým příjemcem dodávek léčivých přípravků zdravotní pojišťovna, která proplácí úhrady svým pojištěncům, ale </w:t>
      </w:r>
      <w:proofErr w:type="gramStart"/>
      <w:r w:rsidRPr="007E5048">
        <w:rPr>
          <w:rFonts w:ascii="Arial" w:hAnsi="Arial" w:cs="Arial"/>
        </w:rPr>
        <w:t>sami</w:t>
      </w:r>
      <w:proofErr w:type="gramEnd"/>
      <w:r w:rsidRPr="007E5048">
        <w:rPr>
          <w:rFonts w:ascii="Arial" w:hAnsi="Arial" w:cs="Arial"/>
        </w:rPr>
        <w:t xml:space="preserve"> tito pojištěnci, nemůže narušit přímou souvislost mezi učiněnými dodávkami zboží a přijatým protiplněním. </w:t>
      </w:r>
    </w:p>
    <w:p w:rsidR="00006DD5" w:rsidRPr="007E5048" w:rsidRDefault="00006DD5" w:rsidP="00006DD5">
      <w:pPr>
        <w:ind w:right="1"/>
        <w:jc w:val="both"/>
        <w:rPr>
          <w:rFonts w:ascii="Arial" w:hAnsi="Arial" w:cs="Arial"/>
        </w:rPr>
      </w:pPr>
      <w:r w:rsidRPr="007E5048">
        <w:rPr>
          <w:rFonts w:ascii="Arial" w:hAnsi="Arial" w:cs="Arial"/>
        </w:rPr>
        <w:t xml:space="preserve"> </w:t>
      </w:r>
    </w:p>
    <w:p w:rsidR="00006DD5" w:rsidRPr="007E5048" w:rsidRDefault="00006DD5" w:rsidP="00006DD5">
      <w:pPr>
        <w:ind w:right="1"/>
        <w:jc w:val="both"/>
        <w:rPr>
          <w:rFonts w:ascii="Arial" w:hAnsi="Arial" w:cs="Arial"/>
        </w:rPr>
      </w:pPr>
      <w:r w:rsidRPr="007E5048">
        <w:rPr>
          <w:rFonts w:ascii="Arial" w:hAnsi="Arial" w:cs="Arial"/>
        </w:rPr>
        <w:t xml:space="preserve">Bonus je přiznán farmaceutickou společností povinně (dle smluvního ujednání) zdravotní pojišťovně, která uhradila svým pojištěncům výdaje, které posledně uvedení vynaložili </w:t>
      </w:r>
      <w:proofErr w:type="gramStart"/>
      <w:r w:rsidRPr="007E5048">
        <w:rPr>
          <w:rFonts w:ascii="Arial" w:hAnsi="Arial" w:cs="Arial"/>
        </w:rPr>
        <w:t>na</w:t>
      </w:r>
      <w:proofErr w:type="gramEnd"/>
      <w:r w:rsidRPr="007E5048">
        <w:rPr>
          <w:rFonts w:ascii="Arial" w:hAnsi="Arial" w:cs="Arial"/>
        </w:rPr>
        <w:t xml:space="preserve"> koupi léčivých přípravků. Dle SDEU za těchto podmínek farmaceutická společnost nemůže volně nakládat v plném rozsahu s prostředky, které utržila z prodeje svých léčivých přípravků lékárnám či velkoobchodníkům a nemůže se tedy v tomto rozsahu jednat o protiplnění obdržené za prodej léčivých přípravků.</w:t>
      </w:r>
    </w:p>
    <w:p w:rsidR="00006DD5" w:rsidRPr="007E5048" w:rsidRDefault="00006DD5" w:rsidP="00006DD5">
      <w:pPr>
        <w:spacing w:line="259" w:lineRule="auto"/>
        <w:jc w:val="both"/>
        <w:rPr>
          <w:rFonts w:ascii="Arial" w:hAnsi="Arial" w:cs="Arial"/>
          <w:u w:val="single"/>
        </w:rPr>
      </w:pPr>
    </w:p>
    <w:p w:rsidR="00006DD5" w:rsidRPr="00581A79" w:rsidRDefault="00006DD5" w:rsidP="00006DD5">
      <w:pPr>
        <w:spacing w:line="259" w:lineRule="auto"/>
        <w:jc w:val="both"/>
        <w:rPr>
          <w:rFonts w:ascii="Arial" w:hAnsi="Arial" w:cs="Arial"/>
          <w:u w:val="single"/>
          <w:lang w:val="pl-PL"/>
        </w:rPr>
      </w:pPr>
      <w:r w:rsidRPr="00581A79">
        <w:rPr>
          <w:rFonts w:ascii="Arial" w:hAnsi="Arial" w:cs="Arial"/>
          <w:u w:val="single"/>
          <w:lang w:val="pl-PL"/>
        </w:rPr>
        <w:t>Zákon o DPH</w:t>
      </w:r>
    </w:p>
    <w:p w:rsidR="00006DD5" w:rsidRPr="00581A79" w:rsidRDefault="00006DD5" w:rsidP="00006DD5">
      <w:pPr>
        <w:spacing w:line="259" w:lineRule="auto"/>
        <w:jc w:val="both"/>
        <w:rPr>
          <w:rFonts w:ascii="Arial" w:hAnsi="Arial" w:cs="Arial"/>
          <w:i/>
          <w:iCs/>
          <w:lang w:val="pl-PL"/>
        </w:rPr>
      </w:pPr>
      <w:r w:rsidRPr="00581A79">
        <w:rPr>
          <w:rFonts w:ascii="Arial" w:hAnsi="Arial" w:cs="Arial"/>
          <w:i/>
          <w:iCs/>
          <w:lang w:val="pl-PL"/>
        </w:rPr>
        <w:t>§42 Oprava základu daně</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(1) Plátce opraví základ daně, nastanou-li tyto skutečnosti:</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lastRenderedPageBreak/>
        <w:t>f) další skutečnosti, na jejichž základě dojde ke změně výše základu daně podle § 36 a 36a po dni uskutečnění zdanitelného plnění.</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(3) Oprava základu daně se považuje za samostatné zdanitelné plnění uskutečněné</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a) dnem, kdy nastaly skutečnosti rozhodné pro provedení opravy základu daně,</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(4) Při opravě základu daně plátce</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a) vystaví opravný daňový doklad, nebo</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b) provede opravu základu daně v evidenci pro účely daně z přidané hodnoty, pokud plátce</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1. neměl povinnost vystavit daňový doklad nebo</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2. vystavil daňový doklad, ale pro účely vystavení opravného daňového dokladu mu není osoba, pro kterou se původní plnění uskutečnilo, dostatečně známa.</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(5) Plátce je povinen vystavit opravný daňový doklad a vynaložit úsilí, které po něm lze rozumně požadovat, k tomu, aby se tento daňový doklad dostal do dispozice příjemce plnění do 15 dnů ode dne uvedeného v odstavci 3.</w:t>
      </w:r>
    </w:p>
    <w:p w:rsidR="00006DD5" w:rsidRPr="00581A79" w:rsidRDefault="00006DD5" w:rsidP="00006DD5">
      <w:pPr>
        <w:spacing w:line="259" w:lineRule="auto"/>
        <w:jc w:val="both"/>
        <w:rPr>
          <w:rFonts w:ascii="Arial" w:hAnsi="Arial" w:cs="Arial"/>
          <w:lang w:val="pl-PL"/>
        </w:rPr>
      </w:pPr>
      <w:r w:rsidRPr="00581A79">
        <w:rPr>
          <w:rFonts w:ascii="Arial" w:hAnsi="Arial" w:cs="Arial"/>
          <w:lang w:val="pl-PL"/>
        </w:rPr>
        <w:t>…</w:t>
      </w:r>
    </w:p>
    <w:p w:rsidR="00006DD5" w:rsidRPr="00581A79" w:rsidRDefault="00006DD5" w:rsidP="00006DD5">
      <w:pPr>
        <w:spacing w:line="259" w:lineRule="auto"/>
        <w:jc w:val="both"/>
        <w:rPr>
          <w:rFonts w:ascii="Arial" w:hAnsi="Arial" w:cs="Arial"/>
          <w:lang w:val="pl-PL"/>
        </w:rPr>
      </w:pPr>
    </w:p>
    <w:p w:rsidR="00006DD5" w:rsidRPr="00581A79" w:rsidRDefault="00006DD5" w:rsidP="00006DD5">
      <w:pPr>
        <w:spacing w:line="259" w:lineRule="auto"/>
        <w:jc w:val="both"/>
        <w:rPr>
          <w:rFonts w:ascii="Arial" w:hAnsi="Arial" w:cs="Arial"/>
          <w:u w:val="single"/>
          <w:lang w:val="pl-PL"/>
        </w:rPr>
      </w:pPr>
      <w:r w:rsidRPr="00581A79">
        <w:rPr>
          <w:rFonts w:ascii="Arial" w:hAnsi="Arial" w:cs="Arial"/>
          <w:u w:val="single"/>
          <w:lang w:val="pl-PL"/>
        </w:rPr>
        <w:t>Předcházející příspěvky KOOV</w:t>
      </w:r>
    </w:p>
    <w:p w:rsidR="00006DD5" w:rsidRPr="00581A79" w:rsidRDefault="00006DD5" w:rsidP="00006DD5">
      <w:pPr>
        <w:jc w:val="both"/>
        <w:rPr>
          <w:rFonts w:ascii="Arial" w:hAnsi="Arial" w:cs="Arial"/>
          <w:lang w:val="pl-PL"/>
        </w:rPr>
      </w:pPr>
      <w:r w:rsidRPr="00581A79">
        <w:rPr>
          <w:rFonts w:ascii="Arial" w:hAnsi="Arial" w:cs="Arial"/>
          <w:lang w:val="pl-PL"/>
        </w:rPr>
        <w:t xml:space="preserve">V příspěvku </w:t>
      </w:r>
      <w:r w:rsidRPr="00581A79">
        <w:rPr>
          <w:rFonts w:ascii="Arial" w:hAnsi="Arial" w:cs="Arial"/>
          <w:i/>
          <w:iCs/>
          <w:lang w:val="pl-PL"/>
        </w:rPr>
        <w:t>č. 340/14.09.11 Nepřímé bonusy</w:t>
      </w:r>
      <w:r w:rsidRPr="00581A79">
        <w:rPr>
          <w:rFonts w:ascii="Arial" w:hAnsi="Arial" w:cs="Arial"/>
          <w:lang w:val="pl-PL"/>
        </w:rPr>
        <w:t xml:space="preserve"> GFŘ mimo jiné připustilo, že při poskytnutí nepřímých bonusů dochází ke snížení základu daně. Dále upřesnilo, že s ohledem na skutečnost, že aplikace nepřímého bonusu nedopadá na přímého odběratele poskytovatele bonusu, provede plátce, který nepřímý bonus poskytuje, pouze opravu v evidenci pro daňové účely.</w:t>
      </w:r>
    </w:p>
    <w:p w:rsidR="00006DD5" w:rsidRPr="00581A79" w:rsidRDefault="00006DD5" w:rsidP="00006DD5">
      <w:pPr>
        <w:jc w:val="both"/>
        <w:rPr>
          <w:rFonts w:ascii="Arial" w:hAnsi="Arial" w:cs="Arial"/>
          <w:lang w:val="pl-PL"/>
        </w:rPr>
      </w:pPr>
    </w:p>
    <w:p w:rsidR="00006DD5" w:rsidRPr="00581A79" w:rsidRDefault="00006DD5" w:rsidP="00006DD5">
      <w:pPr>
        <w:jc w:val="both"/>
        <w:rPr>
          <w:rFonts w:ascii="Arial" w:hAnsi="Arial" w:cs="Arial"/>
          <w:lang w:val="pl-PL"/>
        </w:rPr>
      </w:pPr>
      <w:r w:rsidRPr="00581A79">
        <w:rPr>
          <w:rFonts w:ascii="Arial" w:hAnsi="Arial" w:cs="Arial"/>
          <w:lang w:val="pl-PL"/>
        </w:rPr>
        <w:t xml:space="preserve">Tyto závěry GFŘ později potvrdilo a dále rozvedlo v příspěvcích </w:t>
      </w:r>
      <w:r w:rsidRPr="00581A79">
        <w:rPr>
          <w:rFonts w:ascii="Arial" w:hAnsi="Arial" w:cs="Arial"/>
          <w:i/>
          <w:iCs/>
          <w:lang w:val="pl-PL"/>
        </w:rPr>
        <w:t>č. 350/14.12.11 Bonusy poskytované finálním zákazníkům</w:t>
      </w:r>
      <w:r w:rsidRPr="00581A79">
        <w:rPr>
          <w:rFonts w:ascii="Arial" w:hAnsi="Arial" w:cs="Arial"/>
          <w:lang w:val="pl-PL"/>
        </w:rPr>
        <w:t xml:space="preserve"> a </w:t>
      </w:r>
      <w:r w:rsidRPr="00581A79">
        <w:rPr>
          <w:rFonts w:ascii="Arial" w:hAnsi="Arial" w:cs="Arial"/>
          <w:i/>
          <w:iCs/>
          <w:lang w:val="pl-PL"/>
        </w:rPr>
        <w:t>č. 403/29.05.13 Poskytnutí nepřímého bonusu od zahraničního výrobce zboží</w:t>
      </w:r>
      <w:r w:rsidRPr="00581A79">
        <w:rPr>
          <w:rFonts w:ascii="Arial" w:hAnsi="Arial" w:cs="Arial"/>
          <w:lang w:val="pl-PL"/>
        </w:rPr>
        <w:t xml:space="preserve">. </w:t>
      </w:r>
    </w:p>
    <w:p w:rsidR="00006DD5" w:rsidRPr="00581A79" w:rsidRDefault="00006DD5" w:rsidP="00006DD5">
      <w:pPr>
        <w:spacing w:line="259" w:lineRule="auto"/>
        <w:jc w:val="both"/>
        <w:rPr>
          <w:rFonts w:ascii="Arial" w:hAnsi="Arial" w:cs="Arial"/>
          <w:b/>
          <w:bCs/>
          <w:lang w:val="pl-PL"/>
        </w:rPr>
      </w:pPr>
    </w:p>
    <w:p w:rsidR="00006DD5" w:rsidRPr="007E5048" w:rsidRDefault="00006DD5" w:rsidP="00006DD5">
      <w:pPr>
        <w:pStyle w:val="Odstavecseseznamem"/>
        <w:numPr>
          <w:ilvl w:val="0"/>
          <w:numId w:val="40"/>
        </w:numPr>
        <w:spacing w:after="0" w:line="259" w:lineRule="auto"/>
        <w:ind w:left="0" w:firstLine="0"/>
        <w:contextualSpacing/>
        <w:jc w:val="both"/>
        <w:rPr>
          <w:rFonts w:ascii="Arial" w:hAnsi="Arial" w:cs="Arial"/>
          <w:b/>
          <w:bCs/>
          <w:sz w:val="24"/>
          <w:szCs w:val="24"/>
        </w:rPr>
      </w:pPr>
      <w:r w:rsidRPr="007E5048">
        <w:rPr>
          <w:rFonts w:ascii="Arial" w:hAnsi="Arial" w:cs="Arial"/>
          <w:b/>
          <w:bCs/>
          <w:sz w:val="24"/>
          <w:szCs w:val="24"/>
        </w:rPr>
        <w:t>Situace</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Držitel rozhodnutí o registraci uvádí léčivé přípravky („léky“) </w:t>
      </w:r>
      <w:proofErr w:type="gramStart"/>
      <w:r w:rsidRPr="007E5048">
        <w:rPr>
          <w:rFonts w:ascii="Arial" w:hAnsi="Arial" w:cs="Arial"/>
        </w:rPr>
        <w:t>na</w:t>
      </w:r>
      <w:proofErr w:type="gramEnd"/>
      <w:r w:rsidRPr="007E5048">
        <w:rPr>
          <w:rFonts w:ascii="Arial" w:hAnsi="Arial" w:cs="Arial"/>
        </w:rPr>
        <w:t xml:space="preserve"> trh v České republice na základě registrace těchto léků v souladu se zákonem o léčivech</w:t>
      </w:r>
      <w:r w:rsidRPr="007E5048">
        <w:rPr>
          <w:rStyle w:val="Znakapoznpodarou"/>
          <w:rFonts w:ascii="Arial" w:eastAsia="SimSun" w:hAnsi="Arial" w:cs="Arial"/>
        </w:rPr>
        <w:footnoteReference w:id="3"/>
      </w:r>
      <w:r w:rsidRPr="007E5048">
        <w:rPr>
          <w:rFonts w:ascii="Arial" w:hAnsi="Arial" w:cs="Arial"/>
        </w:rPr>
        <w:t xml:space="preserve">. </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Držitel rozhodnutí o registraci je farmaceutická společnost, která přímo anebo prostřednictvím jiné osoby vyrábí léky a zároveň má oprávnění tyto léky uvádět do oběhu </w:t>
      </w:r>
      <w:proofErr w:type="gramStart"/>
      <w:r w:rsidRPr="007E5048">
        <w:rPr>
          <w:rFonts w:ascii="Arial" w:hAnsi="Arial" w:cs="Arial"/>
        </w:rPr>
        <w:t>na</w:t>
      </w:r>
      <w:proofErr w:type="gramEnd"/>
      <w:r w:rsidRPr="007E5048">
        <w:rPr>
          <w:rFonts w:ascii="Arial" w:hAnsi="Arial" w:cs="Arial"/>
        </w:rPr>
        <w:t xml:space="preserve"> českém trhu.</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Léky jsou pacientovi dodávány přes distribuční řetězec, který zpravidla zahrnuje držitele rozhodnutí o registraci, importéra, (velko</w:t>
      </w:r>
      <w:proofErr w:type="gramStart"/>
      <w:r w:rsidRPr="007E5048">
        <w:rPr>
          <w:rFonts w:ascii="Arial" w:hAnsi="Arial" w:cs="Arial"/>
        </w:rPr>
        <w:t>)distributory</w:t>
      </w:r>
      <w:proofErr w:type="gramEnd"/>
      <w:r w:rsidRPr="007E5048">
        <w:rPr>
          <w:rFonts w:ascii="Arial" w:hAnsi="Arial" w:cs="Arial"/>
        </w:rPr>
        <w:t xml:space="preserve"> a poskytovatele zdravotních služeb. </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Držitel rozhodnutí o registraci může uvádět léky </w:t>
      </w:r>
      <w:proofErr w:type="gramStart"/>
      <w:r w:rsidRPr="007E5048">
        <w:rPr>
          <w:rFonts w:ascii="Arial" w:hAnsi="Arial" w:cs="Arial"/>
        </w:rPr>
        <w:t>na</w:t>
      </w:r>
      <w:proofErr w:type="gramEnd"/>
      <w:r w:rsidRPr="007E5048">
        <w:rPr>
          <w:rFonts w:ascii="Arial" w:hAnsi="Arial" w:cs="Arial"/>
        </w:rPr>
        <w:t xml:space="preserve"> český trh přímo (držitel registrace je zároveň importérem) nebo prostřednictvím importéra (tj. držitel registrace a importér jsou dvě různé entity (osoby)). V takovém případě jsou často držitel rozhodnutí o </w:t>
      </w:r>
      <w:r w:rsidRPr="007E5048">
        <w:rPr>
          <w:rFonts w:ascii="Arial" w:hAnsi="Arial" w:cs="Arial"/>
        </w:rPr>
        <w:lastRenderedPageBreak/>
        <w:t>registraci a importér součástí stejné mezinárodní skupiny farmaceutických společností (</w:t>
      </w:r>
      <w:proofErr w:type="gramStart"/>
      <w:r w:rsidRPr="007E5048">
        <w:rPr>
          <w:rFonts w:ascii="Arial" w:hAnsi="Arial" w:cs="Arial"/>
        </w:rPr>
        <w:t>na</w:t>
      </w:r>
      <w:proofErr w:type="gramEnd"/>
      <w:r w:rsidRPr="007E5048">
        <w:rPr>
          <w:rFonts w:ascii="Arial" w:hAnsi="Arial" w:cs="Arial"/>
        </w:rPr>
        <w:t xml:space="preserve"> vyšší úrovni mají společného vlastníka).</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Léky jsou dodávány českým poskytovatelům zdravotních služeb, např. </w:t>
      </w:r>
      <w:proofErr w:type="gramStart"/>
      <w:r w:rsidRPr="007E5048">
        <w:rPr>
          <w:rFonts w:ascii="Arial" w:hAnsi="Arial" w:cs="Arial"/>
        </w:rPr>
        <w:t>nemocnice</w:t>
      </w:r>
      <w:proofErr w:type="gramEnd"/>
      <w:r w:rsidRPr="007E5048">
        <w:rPr>
          <w:rFonts w:ascii="Arial" w:hAnsi="Arial" w:cs="Arial"/>
        </w:rPr>
        <w:t xml:space="preserve"> nebo lékárny (dále „Poskytovatelé“). Poskytovatelé dále poskytují či podávají léky v nezměněném stavu v rámci zdravotní péče (mimo jiné) pojištěncům, kteří jsou pojištěni u zdravotních pojišťoven (dále „ZP“). Poskytovatelé mají se ZP uzavřené smlouvy o úhradě léčivých přípravků poskytnutých či podaných pojištěncům.</w:t>
      </w:r>
    </w:p>
    <w:p w:rsidR="00006DD5" w:rsidRPr="007E5048" w:rsidRDefault="00006DD5" w:rsidP="00006DD5">
      <w:pPr>
        <w:jc w:val="both"/>
        <w:rPr>
          <w:rFonts w:ascii="Arial" w:hAnsi="Arial" w:cs="Arial"/>
        </w:rPr>
      </w:pPr>
    </w:p>
    <w:p w:rsidR="00006DD5" w:rsidRPr="007E5048" w:rsidRDefault="00006DD5" w:rsidP="00006DD5">
      <w:pPr>
        <w:jc w:val="both"/>
        <w:rPr>
          <w:rFonts w:ascii="Arial" w:hAnsi="Arial" w:cs="Arial"/>
        </w:rPr>
      </w:pPr>
      <w:r w:rsidRPr="007E5048">
        <w:rPr>
          <w:rFonts w:ascii="Arial" w:hAnsi="Arial" w:cs="Arial"/>
        </w:rPr>
        <w:t xml:space="preserve">ZP s dodavatelem léků (držitelem rozhodnutí o registraci) uzavírají smlouvy o limitaci rizik/nákladů spojených s hrazením léčivých přípravků („Smlouvy“). Dodavatel se Smlouvou zavazuje poskytnout ZP platbu při dosažení dohodnutého limitu ročních nákladů </w:t>
      </w:r>
      <w:proofErr w:type="gramStart"/>
      <w:r w:rsidRPr="007E5048">
        <w:rPr>
          <w:rFonts w:ascii="Arial" w:hAnsi="Arial" w:cs="Arial"/>
        </w:rPr>
        <w:t>na</w:t>
      </w:r>
      <w:proofErr w:type="gramEnd"/>
      <w:r w:rsidRPr="007E5048">
        <w:rPr>
          <w:rFonts w:ascii="Arial" w:hAnsi="Arial" w:cs="Arial"/>
        </w:rPr>
        <w:t xml:space="preserve"> léčivý přípravek vynaložený ZP, a tím zajistit dosažení úspory nákladů vynaložených na léčivé přípravky z veřejného zdravotního pojištění (platbu dále označujeme jako „Bonus“). </w:t>
      </w:r>
      <w:r w:rsidRPr="00A53924">
        <w:rPr>
          <w:rFonts w:ascii="Arial" w:hAnsi="Arial" w:cs="Arial"/>
        </w:rPr>
        <w:t>Účelem Smlouvy je zvýšit dostupnost léku v rámci poskytování zdravotní péče v České republice, a to kompenzací objemu vynaložených nákladů ZP v souvislosti s terapií lékem. Bonus vyplacený dle Smlouvy nemá povahu prostředků, které jsou získávány v systému zdravotního pojištění. Účelem Smlouvy není jakkoli zasahovat do procesu stanovení maximální ceny a/nebo výše a podmínek úhrady léku, ani jakýmkoli způsobem zasahovat či ovlivňovat preskripční chování lékařů. ZP za Bonus neposkytují protistraně žádné plnění (tj. Bonus nepředstavuje úplatu za poskytnutí služby).</w:t>
      </w:r>
    </w:p>
    <w:p w:rsidR="00006DD5" w:rsidRPr="007E5048" w:rsidRDefault="00006DD5" w:rsidP="00006DD5">
      <w:pPr>
        <w:spacing w:after="17" w:line="259" w:lineRule="auto"/>
        <w:jc w:val="both"/>
        <w:rPr>
          <w:rFonts w:ascii="Arial" w:hAnsi="Arial" w:cs="Arial"/>
        </w:rPr>
      </w:pPr>
      <w:r w:rsidRPr="007E5048">
        <w:rPr>
          <w:rFonts w:ascii="Arial" w:hAnsi="Arial" w:cs="Arial"/>
        </w:rPr>
        <w:tab/>
      </w:r>
    </w:p>
    <w:p w:rsidR="00006DD5" w:rsidRPr="007E5048" w:rsidRDefault="00006DD5" w:rsidP="00006DD5">
      <w:pPr>
        <w:pStyle w:val="Odstavecseseznamem"/>
        <w:numPr>
          <w:ilvl w:val="0"/>
          <w:numId w:val="40"/>
        </w:numPr>
        <w:spacing w:after="17" w:line="259" w:lineRule="auto"/>
        <w:contextualSpacing/>
        <w:jc w:val="both"/>
        <w:rPr>
          <w:rFonts w:ascii="Arial" w:hAnsi="Arial" w:cs="Arial"/>
          <w:b/>
          <w:bCs/>
          <w:sz w:val="24"/>
          <w:szCs w:val="24"/>
        </w:rPr>
      </w:pPr>
      <w:r w:rsidRPr="007E5048">
        <w:rPr>
          <w:rFonts w:ascii="Arial" w:hAnsi="Arial" w:cs="Arial"/>
          <w:b/>
          <w:bCs/>
          <w:sz w:val="24"/>
          <w:szCs w:val="24"/>
        </w:rPr>
        <w:t>Předmět posouzení</w:t>
      </w:r>
    </w:p>
    <w:p w:rsidR="00006DD5" w:rsidRPr="007E5048" w:rsidRDefault="00006DD5" w:rsidP="00006DD5">
      <w:pPr>
        <w:spacing w:after="9" w:line="259" w:lineRule="auto"/>
        <w:jc w:val="both"/>
        <w:rPr>
          <w:rFonts w:ascii="Arial" w:hAnsi="Arial" w:cs="Arial"/>
        </w:rPr>
      </w:pPr>
    </w:p>
    <w:p w:rsidR="00006DD5" w:rsidRPr="007E5048" w:rsidRDefault="00006DD5" w:rsidP="00006DD5">
      <w:pPr>
        <w:spacing w:after="4" w:line="291" w:lineRule="auto"/>
        <w:ind w:right="229"/>
        <w:jc w:val="both"/>
        <w:rPr>
          <w:rFonts w:ascii="Arial" w:hAnsi="Arial" w:cs="Arial"/>
        </w:rPr>
      </w:pPr>
      <w:r w:rsidRPr="007E5048">
        <w:rPr>
          <w:rFonts w:ascii="Arial" w:hAnsi="Arial" w:cs="Arial"/>
        </w:rPr>
        <w:t xml:space="preserve">Ve většině případů je importér plátce DPH, který pořizuje léky (tuzemský nákup, pořízení zboží z jiného členského státu nebo dovoz) a dodává je </w:t>
      </w:r>
      <w:proofErr w:type="gramStart"/>
      <w:r w:rsidRPr="007E5048">
        <w:rPr>
          <w:rFonts w:ascii="Arial" w:hAnsi="Arial" w:cs="Arial"/>
        </w:rPr>
        <w:t>na</w:t>
      </w:r>
      <w:proofErr w:type="gramEnd"/>
      <w:r w:rsidRPr="007E5048">
        <w:rPr>
          <w:rFonts w:ascii="Arial" w:hAnsi="Arial" w:cs="Arial"/>
        </w:rPr>
        <w:t xml:space="preserve"> český trh Poskytovatelům. Z titulu lokálního dodání léků importér odvádí DPH </w:t>
      </w:r>
      <w:proofErr w:type="gramStart"/>
      <w:r w:rsidRPr="007E5048">
        <w:rPr>
          <w:rFonts w:ascii="Arial" w:hAnsi="Arial" w:cs="Arial"/>
        </w:rPr>
        <w:t>na</w:t>
      </w:r>
      <w:proofErr w:type="gramEnd"/>
      <w:r w:rsidRPr="007E5048">
        <w:rPr>
          <w:rFonts w:ascii="Arial" w:hAnsi="Arial" w:cs="Arial"/>
        </w:rPr>
        <w:t xml:space="preserve"> výstupu.</w:t>
      </w:r>
    </w:p>
    <w:p w:rsidR="00006DD5" w:rsidRPr="007E5048" w:rsidRDefault="00006DD5" w:rsidP="00006DD5">
      <w:pPr>
        <w:spacing w:after="4" w:line="291" w:lineRule="auto"/>
        <w:ind w:right="229"/>
        <w:jc w:val="both"/>
        <w:rPr>
          <w:rFonts w:ascii="Arial" w:hAnsi="Arial" w:cs="Arial"/>
        </w:rPr>
      </w:pPr>
    </w:p>
    <w:p w:rsidR="00006DD5" w:rsidRPr="007E5048" w:rsidRDefault="00006DD5" w:rsidP="00006DD5">
      <w:pPr>
        <w:spacing w:after="4" w:line="291" w:lineRule="auto"/>
        <w:ind w:right="229"/>
        <w:jc w:val="both"/>
        <w:rPr>
          <w:rFonts w:ascii="Arial" w:hAnsi="Arial" w:cs="Arial"/>
        </w:rPr>
      </w:pPr>
      <w:r w:rsidRPr="007E5048">
        <w:rPr>
          <w:rFonts w:ascii="Arial" w:hAnsi="Arial" w:cs="Arial"/>
        </w:rPr>
        <w:t xml:space="preserve">V případech, kdy je Smlouva uzavřena mezi ZP a importérem (plátcem DPH) dle zkušenosti předkladatelů finanční správa obecně akceptuje snížení </w:t>
      </w:r>
      <w:proofErr w:type="gramStart"/>
      <w:r w:rsidRPr="007E5048">
        <w:rPr>
          <w:rFonts w:ascii="Arial" w:hAnsi="Arial" w:cs="Arial"/>
        </w:rPr>
        <w:t>daně</w:t>
      </w:r>
      <w:proofErr w:type="gramEnd"/>
      <w:r w:rsidRPr="007E5048">
        <w:rPr>
          <w:rFonts w:ascii="Arial" w:hAnsi="Arial" w:cs="Arial"/>
        </w:rPr>
        <w:t xml:space="preserve"> na výstupu importérem z titulu Bonusu poskytnutého ZP.</w:t>
      </w:r>
    </w:p>
    <w:p w:rsidR="00006DD5" w:rsidRPr="007E5048" w:rsidRDefault="00006DD5" w:rsidP="00006DD5">
      <w:pPr>
        <w:spacing w:after="4" w:line="291" w:lineRule="auto"/>
        <w:ind w:right="229"/>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Naše zkušenosti však také ukazují, že ZP (zejména v poslední době) trvají </w:t>
      </w:r>
      <w:proofErr w:type="gramStart"/>
      <w:r w:rsidRPr="007E5048">
        <w:rPr>
          <w:rFonts w:ascii="Arial" w:hAnsi="Arial" w:cs="Arial"/>
        </w:rPr>
        <w:t>na</w:t>
      </w:r>
      <w:proofErr w:type="gramEnd"/>
      <w:r w:rsidRPr="007E5048">
        <w:rPr>
          <w:rFonts w:ascii="Arial" w:hAnsi="Arial" w:cs="Arial"/>
        </w:rPr>
        <w:t xml:space="preserve"> uzavření Smlouvy s držitelem rozhodnutí o registraci. Tím je typicky zahraniční osoba, která přímo nedodává léky </w:t>
      </w:r>
      <w:proofErr w:type="gramStart"/>
      <w:r w:rsidRPr="007E5048">
        <w:rPr>
          <w:rFonts w:ascii="Arial" w:hAnsi="Arial" w:cs="Arial"/>
        </w:rPr>
        <w:t>na</w:t>
      </w:r>
      <w:proofErr w:type="gramEnd"/>
      <w:r w:rsidRPr="007E5048">
        <w:rPr>
          <w:rFonts w:ascii="Arial" w:hAnsi="Arial" w:cs="Arial"/>
        </w:rPr>
        <w:t xml:space="preserve"> český trh (a zpravidla v České republice nemá žádné technické ani personální zdroje a není ani plátcem DPH). Importér bývá ve Smlouvách zpravidla uveden jako zástupce Držitele rozhodnutí o registraci.</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Plnění smluvních podmínek a vypořádání bonusu v praxi však i nadále </w:t>
      </w:r>
      <w:r w:rsidRPr="007E5048">
        <w:rPr>
          <w:rFonts w:ascii="Arial" w:hAnsi="Arial" w:cs="Arial"/>
          <w:u w:val="single" w:color="000000"/>
        </w:rPr>
        <w:t>fakticky obstarává</w:t>
      </w:r>
      <w:r w:rsidRPr="007E5048">
        <w:rPr>
          <w:rFonts w:ascii="Arial" w:hAnsi="Arial" w:cs="Arial"/>
        </w:rPr>
        <w:t xml:space="preserve"> importér. ZP komunikuje výhradně s importérem, platby zasílá importér (držitel rozhodnutí o registraci je smluvní stranou spíše formálně). Tato situace vede k pochybnostem, zda importér je oprávněn snížit DPH </w:t>
      </w:r>
      <w:proofErr w:type="gramStart"/>
      <w:r w:rsidRPr="007E5048">
        <w:rPr>
          <w:rFonts w:ascii="Arial" w:hAnsi="Arial" w:cs="Arial"/>
        </w:rPr>
        <w:t>na</w:t>
      </w:r>
      <w:proofErr w:type="gramEnd"/>
      <w:r w:rsidRPr="007E5048">
        <w:rPr>
          <w:rFonts w:ascii="Arial" w:hAnsi="Arial" w:cs="Arial"/>
        </w:rPr>
        <w:t xml:space="preserve"> výstupu z titulu Bonusů vyplacených ZP.</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V praxi pak existují případy, kdy uzavření Smlouvy s držitelem rozhodnutí o registraci požadují pouze některé ZP. To vede k situaci, kdy Smlouva </w:t>
      </w:r>
      <w:proofErr w:type="gramStart"/>
      <w:r w:rsidRPr="007E5048">
        <w:rPr>
          <w:rFonts w:ascii="Arial" w:hAnsi="Arial" w:cs="Arial"/>
        </w:rPr>
        <w:t>na</w:t>
      </w:r>
      <w:proofErr w:type="gramEnd"/>
      <w:r w:rsidRPr="007E5048">
        <w:rPr>
          <w:rFonts w:ascii="Arial" w:hAnsi="Arial" w:cs="Arial"/>
        </w:rPr>
        <w:t xml:space="preserve"> stejný lék je s jednou ZP uzavřena importérem a s druhou ZP držitelem rozhodnutí o registraci. ZP nadále </w:t>
      </w:r>
      <w:r w:rsidRPr="007E5048">
        <w:rPr>
          <w:rFonts w:ascii="Arial" w:hAnsi="Arial" w:cs="Arial"/>
        </w:rPr>
        <w:lastRenderedPageBreak/>
        <w:t xml:space="preserve">zasílají požadavky k platbě Bonusu </w:t>
      </w:r>
      <w:proofErr w:type="gramStart"/>
      <w:r w:rsidRPr="007E5048">
        <w:rPr>
          <w:rFonts w:ascii="Arial" w:hAnsi="Arial" w:cs="Arial"/>
        </w:rPr>
        <w:t>na</w:t>
      </w:r>
      <w:proofErr w:type="gramEnd"/>
      <w:r w:rsidRPr="007E5048">
        <w:rPr>
          <w:rFonts w:ascii="Arial" w:hAnsi="Arial" w:cs="Arial"/>
        </w:rPr>
        <w:t xml:space="preserve"> importéra. Importér vyplácí Bonusy oběma ZP za stejný lék, oba případy fungují identicky, jsou odlišeny pouze formálním uvedením importéra pouze jako zástupce držitele rozhodnutí o registraci (v případě druhé pojišťovny). </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w:t>
      </w:r>
      <w:proofErr w:type="gramStart"/>
      <w:r w:rsidRPr="007E5048">
        <w:rPr>
          <w:rFonts w:ascii="Arial" w:hAnsi="Arial" w:cs="Arial"/>
        </w:rPr>
        <w:t>viz</w:t>
      </w:r>
      <w:proofErr w:type="gramEnd"/>
      <w:r w:rsidRPr="007E5048">
        <w:rPr>
          <w:rFonts w:ascii="Arial" w:hAnsi="Arial" w:cs="Arial"/>
        </w:rPr>
        <w:t>. schéma níže)</w:t>
      </w:r>
    </w:p>
    <w:p w:rsidR="00006DD5" w:rsidRPr="007E5048" w:rsidRDefault="00006DD5" w:rsidP="00006DD5">
      <w:pPr>
        <w:ind w:right="227"/>
        <w:jc w:val="both"/>
        <w:rPr>
          <w:rFonts w:ascii="Arial" w:hAnsi="Arial" w:cs="Arial"/>
        </w:rPr>
      </w:pPr>
    </w:p>
    <w:p w:rsidR="00006DD5" w:rsidRPr="007E5048" w:rsidRDefault="00006DD5" w:rsidP="00006DD5">
      <w:pPr>
        <w:spacing w:line="259" w:lineRule="auto"/>
        <w:jc w:val="both"/>
        <w:rPr>
          <w:rFonts w:ascii="Arial" w:hAnsi="Arial" w:cs="Arial"/>
        </w:rPr>
      </w:pPr>
      <w:r w:rsidRPr="007E5048">
        <w:rPr>
          <w:rFonts w:ascii="Arial" w:hAnsi="Arial" w:cs="Arial"/>
        </w:rPr>
        <w:t xml:space="preserve"> </w:t>
      </w:r>
    </w:p>
    <w:p w:rsidR="00006DD5" w:rsidRPr="007E5048" w:rsidRDefault="00006DD5" w:rsidP="00006DD5">
      <w:pPr>
        <w:spacing w:line="259" w:lineRule="auto"/>
        <w:jc w:val="both"/>
        <w:rPr>
          <w:rFonts w:ascii="Arial" w:hAnsi="Arial" w:cs="Arial"/>
        </w:rPr>
      </w:pPr>
      <w:r w:rsidRPr="007E5048">
        <w:rPr>
          <w:rFonts w:ascii="Arial" w:eastAsia="Calibri" w:hAnsi="Arial" w:cs="Arial"/>
          <w:noProof/>
          <w:lang w:val="cs-CZ" w:eastAsia="cs-CZ"/>
        </w:rPr>
        <mc:AlternateContent>
          <mc:Choice Requires="wpg">
            <w:drawing>
              <wp:inline distT="0" distB="0" distL="0" distR="0" wp14:anchorId="264D5281" wp14:editId="7F62F64D">
                <wp:extent cx="5694800" cy="2772036"/>
                <wp:effectExtent l="0" t="0" r="1270" b="0"/>
                <wp:docPr id="1" name="Group 5493"/>
                <wp:cNvGraphicFramePr/>
                <a:graphic xmlns:a="http://schemas.openxmlformats.org/drawingml/2006/main">
                  <a:graphicData uri="http://schemas.microsoft.com/office/word/2010/wordprocessingGroup">
                    <wpg:wgp>
                      <wpg:cNvGrpSpPr/>
                      <wpg:grpSpPr>
                        <a:xfrm>
                          <a:off x="0" y="0"/>
                          <a:ext cx="5694800" cy="2772036"/>
                          <a:chOff x="0" y="0"/>
                          <a:chExt cx="5694800" cy="2772036"/>
                        </a:xfrm>
                      </wpg:grpSpPr>
                      <wps:wsp>
                        <wps:cNvPr id="2" name="Rectangle 466"/>
                        <wps:cNvSpPr/>
                        <wps:spPr>
                          <a:xfrm>
                            <a:off x="5642991" y="2564115"/>
                            <a:ext cx="51809" cy="207921"/>
                          </a:xfrm>
                          <a:prstGeom prst="rect">
                            <a:avLst/>
                          </a:prstGeom>
                          <a:ln>
                            <a:noFill/>
                          </a:ln>
                        </wps:spPr>
                        <wps:txbx>
                          <w:txbxContent>
                            <w:p w:rsidR="00B3013A" w:rsidRDefault="00B3013A" w:rsidP="00006DD5">
                              <w:pPr>
                                <w:spacing w:after="160" w:line="259" w:lineRule="auto"/>
                              </w:pPr>
                              <w:r>
                                <w:t xml:space="preserve"> </w:t>
                              </w:r>
                            </w:p>
                          </w:txbxContent>
                        </wps:txbx>
                        <wps:bodyPr horzOverflow="overflow" vert="horz" lIns="0" tIns="0" rIns="0" bIns="0" rtlCol="0">
                          <a:noAutofit/>
                        </wps:bodyPr>
                      </wps:wsp>
                      <wps:wsp>
                        <wps:cNvPr id="3" name="Shape 600"/>
                        <wps:cNvSpPr/>
                        <wps:spPr>
                          <a:xfrm>
                            <a:off x="1639062" y="2358644"/>
                            <a:ext cx="76581" cy="19685"/>
                          </a:xfrm>
                          <a:custGeom>
                            <a:avLst/>
                            <a:gdLst/>
                            <a:ahLst/>
                            <a:cxnLst/>
                            <a:rect l="0" t="0" r="0" b="0"/>
                            <a:pathLst>
                              <a:path w="76581" h="19685">
                                <a:moveTo>
                                  <a:pt x="508" y="0"/>
                                </a:moveTo>
                                <a:lnTo>
                                  <a:pt x="18161" y="508"/>
                                </a:lnTo>
                                <a:lnTo>
                                  <a:pt x="69850" y="635"/>
                                </a:lnTo>
                                <a:lnTo>
                                  <a:pt x="76327" y="508"/>
                                </a:lnTo>
                                <a:lnTo>
                                  <a:pt x="76581" y="19558"/>
                                </a:lnTo>
                                <a:lnTo>
                                  <a:pt x="69977" y="19685"/>
                                </a:lnTo>
                                <a:lnTo>
                                  <a:pt x="18161" y="19558"/>
                                </a:lnTo>
                                <a:lnTo>
                                  <a:pt x="0" y="19050"/>
                                </a:lnTo>
                                <a:lnTo>
                                  <a:pt x="508" y="0"/>
                                </a:lnTo>
                                <a:close/>
                              </a:path>
                            </a:pathLst>
                          </a:custGeom>
                          <a:solidFill>
                            <a:srgbClr val="4F81BD"/>
                          </a:solidFill>
                          <a:ln w="0" cap="flat">
                            <a:noFill/>
                            <a:miter lim="127000"/>
                          </a:ln>
                          <a:effectLst/>
                        </wps:spPr>
                        <wps:bodyPr/>
                      </wps:wsp>
                      <wps:wsp>
                        <wps:cNvPr id="4" name="Shape 601"/>
                        <wps:cNvSpPr/>
                        <wps:spPr>
                          <a:xfrm>
                            <a:off x="1772412" y="2355850"/>
                            <a:ext cx="76835" cy="21717"/>
                          </a:xfrm>
                          <a:custGeom>
                            <a:avLst/>
                            <a:gdLst/>
                            <a:ahLst/>
                            <a:cxnLst/>
                            <a:rect l="0" t="0" r="0" b="0"/>
                            <a:pathLst>
                              <a:path w="76835" h="21717">
                                <a:moveTo>
                                  <a:pt x="75946" y="0"/>
                                </a:moveTo>
                                <a:lnTo>
                                  <a:pt x="76835" y="19050"/>
                                </a:lnTo>
                                <a:lnTo>
                                  <a:pt x="40767" y="20574"/>
                                </a:lnTo>
                                <a:lnTo>
                                  <a:pt x="508" y="21717"/>
                                </a:lnTo>
                                <a:lnTo>
                                  <a:pt x="0" y="2667"/>
                                </a:lnTo>
                                <a:lnTo>
                                  <a:pt x="39878" y="1651"/>
                                </a:lnTo>
                                <a:lnTo>
                                  <a:pt x="75946" y="0"/>
                                </a:lnTo>
                                <a:close/>
                              </a:path>
                            </a:pathLst>
                          </a:custGeom>
                          <a:solidFill>
                            <a:srgbClr val="4F81BD"/>
                          </a:solidFill>
                          <a:ln w="0" cap="flat">
                            <a:noFill/>
                            <a:miter lim="127000"/>
                          </a:ln>
                          <a:effectLst/>
                        </wps:spPr>
                        <wps:bodyPr/>
                      </wps:wsp>
                      <wps:wsp>
                        <wps:cNvPr id="5" name="Shape 602"/>
                        <wps:cNvSpPr/>
                        <wps:spPr>
                          <a:xfrm>
                            <a:off x="1505585" y="2352929"/>
                            <a:ext cx="76962" cy="22987"/>
                          </a:xfrm>
                          <a:custGeom>
                            <a:avLst/>
                            <a:gdLst/>
                            <a:ahLst/>
                            <a:cxnLst/>
                            <a:rect l="0" t="0" r="0" b="0"/>
                            <a:pathLst>
                              <a:path w="76962" h="22987">
                                <a:moveTo>
                                  <a:pt x="1016" y="0"/>
                                </a:moveTo>
                                <a:lnTo>
                                  <a:pt x="48514" y="2794"/>
                                </a:lnTo>
                                <a:lnTo>
                                  <a:pt x="76962" y="3937"/>
                                </a:lnTo>
                                <a:lnTo>
                                  <a:pt x="76200" y="22987"/>
                                </a:lnTo>
                                <a:lnTo>
                                  <a:pt x="47752" y="21844"/>
                                </a:lnTo>
                                <a:lnTo>
                                  <a:pt x="0" y="19050"/>
                                </a:lnTo>
                                <a:lnTo>
                                  <a:pt x="1016" y="0"/>
                                </a:lnTo>
                                <a:close/>
                              </a:path>
                            </a:pathLst>
                          </a:custGeom>
                          <a:solidFill>
                            <a:srgbClr val="4F81BD"/>
                          </a:solidFill>
                          <a:ln w="0" cap="flat">
                            <a:noFill/>
                            <a:miter lim="127000"/>
                          </a:ln>
                          <a:effectLst/>
                        </wps:spPr>
                        <wps:bodyPr/>
                      </wps:wsp>
                      <wps:wsp>
                        <wps:cNvPr id="6" name="Shape 603"/>
                        <wps:cNvSpPr/>
                        <wps:spPr>
                          <a:xfrm>
                            <a:off x="1905254" y="2346579"/>
                            <a:ext cx="77470" cy="25019"/>
                          </a:xfrm>
                          <a:custGeom>
                            <a:avLst/>
                            <a:gdLst/>
                            <a:ahLst/>
                            <a:cxnLst/>
                            <a:rect l="0" t="0" r="0" b="0"/>
                            <a:pathLst>
                              <a:path w="77470" h="25019">
                                <a:moveTo>
                                  <a:pt x="75692" y="0"/>
                                </a:moveTo>
                                <a:lnTo>
                                  <a:pt x="77470" y="18923"/>
                                </a:lnTo>
                                <a:lnTo>
                                  <a:pt x="62484" y="20320"/>
                                </a:lnTo>
                                <a:lnTo>
                                  <a:pt x="11430" y="24384"/>
                                </a:lnTo>
                                <a:lnTo>
                                  <a:pt x="1143" y="25019"/>
                                </a:lnTo>
                                <a:lnTo>
                                  <a:pt x="0" y="5969"/>
                                </a:lnTo>
                                <a:lnTo>
                                  <a:pt x="9906" y="5334"/>
                                </a:lnTo>
                                <a:lnTo>
                                  <a:pt x="60706" y="1397"/>
                                </a:lnTo>
                                <a:lnTo>
                                  <a:pt x="75692" y="0"/>
                                </a:lnTo>
                                <a:close/>
                              </a:path>
                            </a:pathLst>
                          </a:custGeom>
                          <a:solidFill>
                            <a:srgbClr val="4F81BD"/>
                          </a:solidFill>
                          <a:ln w="0" cap="flat">
                            <a:noFill/>
                            <a:miter lim="127000"/>
                          </a:ln>
                          <a:effectLst/>
                        </wps:spPr>
                        <wps:bodyPr/>
                      </wps:wsp>
                      <wps:wsp>
                        <wps:cNvPr id="7" name="Shape 604"/>
                        <wps:cNvSpPr/>
                        <wps:spPr>
                          <a:xfrm>
                            <a:off x="1372235" y="2341499"/>
                            <a:ext cx="77724" cy="26289"/>
                          </a:xfrm>
                          <a:custGeom>
                            <a:avLst/>
                            <a:gdLst/>
                            <a:ahLst/>
                            <a:cxnLst/>
                            <a:rect l="0" t="0" r="0" b="0"/>
                            <a:pathLst>
                              <a:path w="77724" h="26289">
                                <a:moveTo>
                                  <a:pt x="2032" y="0"/>
                                </a:moveTo>
                                <a:lnTo>
                                  <a:pt x="29591" y="2921"/>
                                </a:lnTo>
                                <a:lnTo>
                                  <a:pt x="77724" y="7239"/>
                                </a:lnTo>
                                <a:lnTo>
                                  <a:pt x="75946" y="26289"/>
                                </a:lnTo>
                                <a:lnTo>
                                  <a:pt x="27940" y="21844"/>
                                </a:lnTo>
                                <a:lnTo>
                                  <a:pt x="0" y="18923"/>
                                </a:lnTo>
                                <a:lnTo>
                                  <a:pt x="2032" y="0"/>
                                </a:lnTo>
                                <a:close/>
                              </a:path>
                            </a:pathLst>
                          </a:custGeom>
                          <a:solidFill>
                            <a:srgbClr val="4F81BD"/>
                          </a:solidFill>
                          <a:ln w="0" cap="flat">
                            <a:noFill/>
                            <a:miter lim="127000"/>
                          </a:ln>
                          <a:effectLst/>
                        </wps:spPr>
                        <wps:bodyPr/>
                      </wps:wsp>
                      <wps:wsp>
                        <wps:cNvPr id="8" name="Shape 605"/>
                        <wps:cNvSpPr/>
                        <wps:spPr>
                          <a:xfrm>
                            <a:off x="2037588" y="2331339"/>
                            <a:ext cx="77851" cy="28321"/>
                          </a:xfrm>
                          <a:custGeom>
                            <a:avLst/>
                            <a:gdLst/>
                            <a:ahLst/>
                            <a:cxnLst/>
                            <a:rect l="0" t="0" r="0" b="0"/>
                            <a:pathLst>
                              <a:path w="77851" h="28321">
                                <a:moveTo>
                                  <a:pt x="75438" y="0"/>
                                </a:moveTo>
                                <a:lnTo>
                                  <a:pt x="77851" y="18796"/>
                                </a:lnTo>
                                <a:lnTo>
                                  <a:pt x="30861" y="25019"/>
                                </a:lnTo>
                                <a:lnTo>
                                  <a:pt x="2159" y="28321"/>
                                </a:lnTo>
                                <a:lnTo>
                                  <a:pt x="0" y="9271"/>
                                </a:lnTo>
                                <a:lnTo>
                                  <a:pt x="28321" y="6096"/>
                                </a:lnTo>
                                <a:lnTo>
                                  <a:pt x="75438" y="0"/>
                                </a:lnTo>
                                <a:close/>
                              </a:path>
                            </a:pathLst>
                          </a:custGeom>
                          <a:solidFill>
                            <a:srgbClr val="4F81BD"/>
                          </a:solidFill>
                          <a:ln w="0" cap="flat">
                            <a:noFill/>
                            <a:miter lim="127000"/>
                          </a:ln>
                          <a:effectLst/>
                        </wps:spPr>
                        <wps:bodyPr/>
                      </wps:wsp>
                      <wps:wsp>
                        <wps:cNvPr id="9" name="Shape 606"/>
                        <wps:cNvSpPr/>
                        <wps:spPr>
                          <a:xfrm>
                            <a:off x="1239520" y="2324608"/>
                            <a:ext cx="78105" cy="29337"/>
                          </a:xfrm>
                          <a:custGeom>
                            <a:avLst/>
                            <a:gdLst/>
                            <a:ahLst/>
                            <a:cxnLst/>
                            <a:rect l="0" t="0" r="0" b="0"/>
                            <a:pathLst>
                              <a:path w="78105" h="29337">
                                <a:moveTo>
                                  <a:pt x="2921" y="0"/>
                                </a:moveTo>
                                <a:lnTo>
                                  <a:pt x="15494" y="1905"/>
                                </a:lnTo>
                                <a:lnTo>
                                  <a:pt x="63627" y="8636"/>
                                </a:lnTo>
                                <a:lnTo>
                                  <a:pt x="78105" y="10414"/>
                                </a:lnTo>
                                <a:lnTo>
                                  <a:pt x="75819" y="29337"/>
                                </a:lnTo>
                                <a:lnTo>
                                  <a:pt x="61214" y="27559"/>
                                </a:lnTo>
                                <a:lnTo>
                                  <a:pt x="12827" y="20828"/>
                                </a:lnTo>
                                <a:lnTo>
                                  <a:pt x="0" y="18923"/>
                                </a:lnTo>
                                <a:lnTo>
                                  <a:pt x="2921" y="0"/>
                                </a:lnTo>
                                <a:close/>
                              </a:path>
                            </a:pathLst>
                          </a:custGeom>
                          <a:solidFill>
                            <a:srgbClr val="4F81BD"/>
                          </a:solidFill>
                          <a:ln w="0" cap="flat">
                            <a:noFill/>
                            <a:miter lim="127000"/>
                          </a:ln>
                          <a:effectLst/>
                        </wps:spPr>
                        <wps:bodyPr/>
                      </wps:wsp>
                      <wps:wsp>
                        <wps:cNvPr id="10" name="Shape 607"/>
                        <wps:cNvSpPr/>
                        <wps:spPr>
                          <a:xfrm>
                            <a:off x="2169287" y="2309876"/>
                            <a:ext cx="78359" cy="31877"/>
                          </a:xfrm>
                          <a:custGeom>
                            <a:avLst/>
                            <a:gdLst/>
                            <a:ahLst/>
                            <a:cxnLst/>
                            <a:rect l="0" t="0" r="0" b="0"/>
                            <a:pathLst>
                              <a:path w="78359" h="31877">
                                <a:moveTo>
                                  <a:pt x="74803" y="0"/>
                                </a:moveTo>
                                <a:lnTo>
                                  <a:pt x="78359" y="18796"/>
                                </a:lnTo>
                                <a:lnTo>
                                  <a:pt x="44450" y="25019"/>
                                </a:lnTo>
                                <a:lnTo>
                                  <a:pt x="3048" y="31877"/>
                                </a:lnTo>
                                <a:lnTo>
                                  <a:pt x="0" y="13081"/>
                                </a:lnTo>
                                <a:lnTo>
                                  <a:pt x="41021" y="6223"/>
                                </a:lnTo>
                                <a:lnTo>
                                  <a:pt x="74803" y="0"/>
                                </a:lnTo>
                                <a:close/>
                              </a:path>
                            </a:pathLst>
                          </a:custGeom>
                          <a:solidFill>
                            <a:srgbClr val="4F81BD"/>
                          </a:solidFill>
                          <a:ln w="0" cap="flat">
                            <a:noFill/>
                            <a:miter lim="127000"/>
                          </a:ln>
                          <a:effectLst/>
                        </wps:spPr>
                        <wps:bodyPr/>
                      </wps:wsp>
                      <wps:wsp>
                        <wps:cNvPr id="11" name="Shape 608"/>
                        <wps:cNvSpPr/>
                        <wps:spPr>
                          <a:xfrm>
                            <a:off x="1107694" y="2301875"/>
                            <a:ext cx="78486" cy="32512"/>
                          </a:xfrm>
                          <a:custGeom>
                            <a:avLst/>
                            <a:gdLst/>
                            <a:ahLst/>
                            <a:cxnLst/>
                            <a:rect l="0" t="0" r="0" b="0"/>
                            <a:pathLst>
                              <a:path w="78486" h="32512">
                                <a:moveTo>
                                  <a:pt x="3810" y="0"/>
                                </a:moveTo>
                                <a:lnTo>
                                  <a:pt x="8636" y="1016"/>
                                </a:lnTo>
                                <a:lnTo>
                                  <a:pt x="53848" y="9652"/>
                                </a:lnTo>
                                <a:lnTo>
                                  <a:pt x="78486" y="13843"/>
                                </a:lnTo>
                                <a:lnTo>
                                  <a:pt x="75311" y="32512"/>
                                </a:lnTo>
                                <a:lnTo>
                                  <a:pt x="50673" y="28321"/>
                                </a:lnTo>
                                <a:lnTo>
                                  <a:pt x="5080" y="19812"/>
                                </a:lnTo>
                                <a:lnTo>
                                  <a:pt x="0" y="18669"/>
                                </a:lnTo>
                                <a:lnTo>
                                  <a:pt x="3810" y="0"/>
                                </a:lnTo>
                                <a:close/>
                              </a:path>
                            </a:pathLst>
                          </a:custGeom>
                          <a:solidFill>
                            <a:srgbClr val="4F81BD"/>
                          </a:solidFill>
                          <a:ln w="0" cap="flat">
                            <a:noFill/>
                            <a:miter lim="127000"/>
                          </a:ln>
                          <a:effectLst/>
                        </wps:spPr>
                        <wps:bodyPr/>
                      </wps:wsp>
                      <wps:wsp>
                        <wps:cNvPr id="12" name="Shape 609"/>
                        <wps:cNvSpPr/>
                        <wps:spPr>
                          <a:xfrm>
                            <a:off x="2300097" y="2281936"/>
                            <a:ext cx="78359" cy="35560"/>
                          </a:xfrm>
                          <a:custGeom>
                            <a:avLst/>
                            <a:gdLst/>
                            <a:ahLst/>
                            <a:cxnLst/>
                            <a:rect l="0" t="0" r="0" b="0"/>
                            <a:pathLst>
                              <a:path w="78359" h="35560">
                                <a:moveTo>
                                  <a:pt x="73914" y="0"/>
                                </a:moveTo>
                                <a:lnTo>
                                  <a:pt x="78359" y="18542"/>
                                </a:lnTo>
                                <a:lnTo>
                                  <a:pt x="50038" y="25400"/>
                                </a:lnTo>
                                <a:lnTo>
                                  <a:pt x="5715" y="35179"/>
                                </a:lnTo>
                                <a:lnTo>
                                  <a:pt x="3683" y="35560"/>
                                </a:lnTo>
                                <a:lnTo>
                                  <a:pt x="0" y="16891"/>
                                </a:lnTo>
                                <a:lnTo>
                                  <a:pt x="1651" y="16510"/>
                                </a:lnTo>
                                <a:lnTo>
                                  <a:pt x="45593" y="6858"/>
                                </a:lnTo>
                                <a:lnTo>
                                  <a:pt x="73914" y="0"/>
                                </a:lnTo>
                                <a:close/>
                              </a:path>
                            </a:pathLst>
                          </a:custGeom>
                          <a:solidFill>
                            <a:srgbClr val="4F81BD"/>
                          </a:solidFill>
                          <a:ln w="0" cap="flat">
                            <a:noFill/>
                            <a:miter lim="127000"/>
                          </a:ln>
                          <a:effectLst/>
                        </wps:spPr>
                        <wps:bodyPr/>
                      </wps:wsp>
                      <wps:wsp>
                        <wps:cNvPr id="13" name="Shape 610"/>
                        <wps:cNvSpPr/>
                        <wps:spPr>
                          <a:xfrm>
                            <a:off x="977138" y="2272538"/>
                            <a:ext cx="78613" cy="36195"/>
                          </a:xfrm>
                          <a:custGeom>
                            <a:avLst/>
                            <a:gdLst/>
                            <a:ahLst/>
                            <a:cxnLst/>
                            <a:rect l="0" t="0" r="0" b="0"/>
                            <a:pathLst>
                              <a:path w="78613" h="36195">
                                <a:moveTo>
                                  <a:pt x="4953" y="0"/>
                                </a:moveTo>
                                <a:lnTo>
                                  <a:pt x="11557" y="1778"/>
                                </a:lnTo>
                                <a:lnTo>
                                  <a:pt x="52705" y="11811"/>
                                </a:lnTo>
                                <a:lnTo>
                                  <a:pt x="78613" y="17653"/>
                                </a:lnTo>
                                <a:lnTo>
                                  <a:pt x="74422" y="36195"/>
                                </a:lnTo>
                                <a:lnTo>
                                  <a:pt x="48641" y="30353"/>
                                </a:lnTo>
                                <a:lnTo>
                                  <a:pt x="7112" y="20193"/>
                                </a:lnTo>
                                <a:lnTo>
                                  <a:pt x="0" y="18415"/>
                                </a:lnTo>
                                <a:lnTo>
                                  <a:pt x="4953" y="0"/>
                                </a:lnTo>
                                <a:close/>
                              </a:path>
                            </a:pathLst>
                          </a:custGeom>
                          <a:solidFill>
                            <a:srgbClr val="4F81BD"/>
                          </a:solidFill>
                          <a:ln w="0" cap="flat">
                            <a:noFill/>
                            <a:miter lim="127000"/>
                          </a:ln>
                          <a:effectLst/>
                        </wps:spPr>
                        <wps:bodyPr/>
                      </wps:wsp>
                      <wps:wsp>
                        <wps:cNvPr id="14" name="Shape 611"/>
                        <wps:cNvSpPr/>
                        <wps:spPr>
                          <a:xfrm>
                            <a:off x="2429129" y="2246122"/>
                            <a:ext cx="78232" cy="40005"/>
                          </a:xfrm>
                          <a:custGeom>
                            <a:avLst/>
                            <a:gdLst/>
                            <a:ahLst/>
                            <a:cxnLst/>
                            <a:rect l="0" t="0" r="0" b="0"/>
                            <a:pathLst>
                              <a:path w="78232" h="40005">
                                <a:moveTo>
                                  <a:pt x="72644" y="0"/>
                                </a:moveTo>
                                <a:lnTo>
                                  <a:pt x="78232" y="18161"/>
                                </a:lnTo>
                                <a:lnTo>
                                  <a:pt x="45466" y="28448"/>
                                </a:lnTo>
                                <a:lnTo>
                                  <a:pt x="5334" y="39878"/>
                                </a:lnTo>
                                <a:lnTo>
                                  <a:pt x="4826" y="40005"/>
                                </a:lnTo>
                                <a:lnTo>
                                  <a:pt x="0" y="21590"/>
                                </a:lnTo>
                                <a:lnTo>
                                  <a:pt x="127" y="21590"/>
                                </a:lnTo>
                                <a:lnTo>
                                  <a:pt x="39751" y="10160"/>
                                </a:lnTo>
                                <a:lnTo>
                                  <a:pt x="72644" y="0"/>
                                </a:lnTo>
                                <a:close/>
                              </a:path>
                            </a:pathLst>
                          </a:custGeom>
                          <a:solidFill>
                            <a:srgbClr val="4F81BD"/>
                          </a:solidFill>
                          <a:ln w="0" cap="flat">
                            <a:noFill/>
                            <a:miter lim="127000"/>
                          </a:ln>
                          <a:effectLst/>
                        </wps:spPr>
                        <wps:bodyPr/>
                      </wps:wsp>
                      <wps:wsp>
                        <wps:cNvPr id="15" name="Shape 612"/>
                        <wps:cNvSpPr/>
                        <wps:spPr>
                          <a:xfrm>
                            <a:off x="848741" y="2234438"/>
                            <a:ext cx="78359" cy="41275"/>
                          </a:xfrm>
                          <a:custGeom>
                            <a:avLst/>
                            <a:gdLst/>
                            <a:ahLst/>
                            <a:cxnLst/>
                            <a:rect l="0" t="0" r="0" b="0"/>
                            <a:pathLst>
                              <a:path w="78359" h="41275">
                                <a:moveTo>
                                  <a:pt x="6223" y="0"/>
                                </a:moveTo>
                                <a:lnTo>
                                  <a:pt x="26289" y="6985"/>
                                </a:lnTo>
                                <a:lnTo>
                                  <a:pt x="62484" y="18288"/>
                                </a:lnTo>
                                <a:lnTo>
                                  <a:pt x="78359" y="22987"/>
                                </a:lnTo>
                                <a:lnTo>
                                  <a:pt x="73152" y="41275"/>
                                </a:lnTo>
                                <a:lnTo>
                                  <a:pt x="57150" y="36576"/>
                                </a:lnTo>
                                <a:lnTo>
                                  <a:pt x="20574" y="25146"/>
                                </a:lnTo>
                                <a:lnTo>
                                  <a:pt x="0" y="18034"/>
                                </a:lnTo>
                                <a:lnTo>
                                  <a:pt x="6223" y="0"/>
                                </a:lnTo>
                                <a:close/>
                              </a:path>
                            </a:pathLst>
                          </a:custGeom>
                          <a:solidFill>
                            <a:srgbClr val="4F81BD"/>
                          </a:solidFill>
                          <a:ln w="0" cap="flat">
                            <a:noFill/>
                            <a:miter lim="127000"/>
                          </a:ln>
                          <a:effectLst/>
                        </wps:spPr>
                        <wps:bodyPr/>
                      </wps:wsp>
                      <wps:wsp>
                        <wps:cNvPr id="16" name="Shape 613"/>
                        <wps:cNvSpPr/>
                        <wps:spPr>
                          <a:xfrm>
                            <a:off x="2555367" y="2199513"/>
                            <a:ext cx="77851" cy="46101"/>
                          </a:xfrm>
                          <a:custGeom>
                            <a:avLst/>
                            <a:gdLst/>
                            <a:ahLst/>
                            <a:cxnLst/>
                            <a:rect l="0" t="0" r="0" b="0"/>
                            <a:pathLst>
                              <a:path w="77851" h="46101">
                                <a:moveTo>
                                  <a:pt x="70104" y="0"/>
                                </a:moveTo>
                                <a:lnTo>
                                  <a:pt x="77851" y="17526"/>
                                </a:lnTo>
                                <a:lnTo>
                                  <a:pt x="62103" y="24384"/>
                                </a:lnTo>
                                <a:lnTo>
                                  <a:pt x="29210" y="37846"/>
                                </a:lnTo>
                                <a:lnTo>
                                  <a:pt x="6604" y="46101"/>
                                </a:lnTo>
                                <a:lnTo>
                                  <a:pt x="0" y="28194"/>
                                </a:lnTo>
                                <a:lnTo>
                                  <a:pt x="21971" y="20066"/>
                                </a:lnTo>
                                <a:lnTo>
                                  <a:pt x="54356" y="6985"/>
                                </a:lnTo>
                                <a:lnTo>
                                  <a:pt x="70104" y="0"/>
                                </a:lnTo>
                                <a:close/>
                              </a:path>
                            </a:pathLst>
                          </a:custGeom>
                          <a:solidFill>
                            <a:srgbClr val="4F81BD"/>
                          </a:solidFill>
                          <a:ln w="0" cap="flat">
                            <a:noFill/>
                            <a:miter lim="127000"/>
                          </a:ln>
                          <a:effectLst/>
                        </wps:spPr>
                        <wps:bodyPr/>
                      </wps:wsp>
                      <wps:wsp>
                        <wps:cNvPr id="17" name="Shape 614"/>
                        <wps:cNvSpPr/>
                        <wps:spPr>
                          <a:xfrm>
                            <a:off x="724408" y="2184146"/>
                            <a:ext cx="77470" cy="48387"/>
                          </a:xfrm>
                          <a:custGeom>
                            <a:avLst/>
                            <a:gdLst/>
                            <a:ahLst/>
                            <a:cxnLst/>
                            <a:rect l="0" t="0" r="0" b="0"/>
                            <a:pathLst>
                              <a:path w="77470" h="48387">
                                <a:moveTo>
                                  <a:pt x="8636" y="0"/>
                                </a:moveTo>
                                <a:lnTo>
                                  <a:pt x="12065" y="1651"/>
                                </a:lnTo>
                                <a:lnTo>
                                  <a:pt x="25146" y="8128"/>
                                </a:lnTo>
                                <a:lnTo>
                                  <a:pt x="53340" y="20828"/>
                                </a:lnTo>
                                <a:lnTo>
                                  <a:pt x="77470" y="30734"/>
                                </a:lnTo>
                                <a:lnTo>
                                  <a:pt x="70231" y="48387"/>
                                </a:lnTo>
                                <a:lnTo>
                                  <a:pt x="46101" y="38481"/>
                                </a:lnTo>
                                <a:lnTo>
                                  <a:pt x="17399" y="25527"/>
                                </a:lnTo>
                                <a:lnTo>
                                  <a:pt x="3683" y="18796"/>
                                </a:lnTo>
                                <a:lnTo>
                                  <a:pt x="0" y="16891"/>
                                </a:lnTo>
                                <a:lnTo>
                                  <a:pt x="8636" y="0"/>
                                </a:lnTo>
                                <a:close/>
                              </a:path>
                            </a:pathLst>
                          </a:custGeom>
                          <a:solidFill>
                            <a:srgbClr val="4F81BD"/>
                          </a:solidFill>
                          <a:ln w="0" cap="flat">
                            <a:noFill/>
                            <a:miter lim="127000"/>
                          </a:ln>
                          <a:effectLst/>
                        </wps:spPr>
                        <wps:bodyPr/>
                      </wps:wsp>
                      <wps:wsp>
                        <wps:cNvPr id="18" name="Shape 615"/>
                        <wps:cNvSpPr/>
                        <wps:spPr>
                          <a:xfrm>
                            <a:off x="2676398" y="2136140"/>
                            <a:ext cx="75057" cy="55880"/>
                          </a:xfrm>
                          <a:custGeom>
                            <a:avLst/>
                            <a:gdLst/>
                            <a:ahLst/>
                            <a:cxnLst/>
                            <a:rect l="0" t="0" r="0" b="0"/>
                            <a:pathLst>
                              <a:path w="75057" h="55880">
                                <a:moveTo>
                                  <a:pt x="63500" y="0"/>
                                </a:moveTo>
                                <a:lnTo>
                                  <a:pt x="75057" y="15113"/>
                                </a:lnTo>
                                <a:lnTo>
                                  <a:pt x="73914" y="16002"/>
                                </a:lnTo>
                                <a:lnTo>
                                  <a:pt x="63119" y="23495"/>
                                </a:lnTo>
                                <a:lnTo>
                                  <a:pt x="51816" y="30988"/>
                                </a:lnTo>
                                <a:lnTo>
                                  <a:pt x="40005" y="38354"/>
                                </a:lnTo>
                                <a:lnTo>
                                  <a:pt x="27559" y="45720"/>
                                </a:lnTo>
                                <a:lnTo>
                                  <a:pt x="14478" y="53086"/>
                                </a:lnTo>
                                <a:lnTo>
                                  <a:pt x="8890" y="55880"/>
                                </a:lnTo>
                                <a:lnTo>
                                  <a:pt x="0" y="39116"/>
                                </a:lnTo>
                                <a:lnTo>
                                  <a:pt x="5207" y="36322"/>
                                </a:lnTo>
                                <a:lnTo>
                                  <a:pt x="17780" y="29337"/>
                                </a:lnTo>
                                <a:lnTo>
                                  <a:pt x="29972" y="22225"/>
                                </a:lnTo>
                                <a:lnTo>
                                  <a:pt x="41275" y="15113"/>
                                </a:lnTo>
                                <a:lnTo>
                                  <a:pt x="52197" y="8001"/>
                                </a:lnTo>
                                <a:lnTo>
                                  <a:pt x="62357" y="762"/>
                                </a:lnTo>
                                <a:lnTo>
                                  <a:pt x="63500" y="0"/>
                                </a:lnTo>
                                <a:close/>
                              </a:path>
                            </a:pathLst>
                          </a:custGeom>
                          <a:solidFill>
                            <a:srgbClr val="4F81BD"/>
                          </a:solidFill>
                          <a:ln w="0" cap="flat">
                            <a:noFill/>
                            <a:miter lim="127000"/>
                          </a:ln>
                          <a:effectLst/>
                        </wps:spPr>
                        <wps:bodyPr/>
                      </wps:wsp>
                      <wps:wsp>
                        <wps:cNvPr id="19" name="Shape 616"/>
                        <wps:cNvSpPr/>
                        <wps:spPr>
                          <a:xfrm>
                            <a:off x="600202" y="2061337"/>
                            <a:ext cx="84201" cy="110871"/>
                          </a:xfrm>
                          <a:custGeom>
                            <a:avLst/>
                            <a:gdLst/>
                            <a:ahLst/>
                            <a:cxnLst/>
                            <a:rect l="0" t="0" r="0" b="0"/>
                            <a:pathLst>
                              <a:path w="84201" h="110871">
                                <a:moveTo>
                                  <a:pt x="0" y="0"/>
                                </a:moveTo>
                                <a:lnTo>
                                  <a:pt x="68580" y="50419"/>
                                </a:lnTo>
                                <a:lnTo>
                                  <a:pt x="44247" y="62904"/>
                                </a:lnTo>
                                <a:lnTo>
                                  <a:pt x="45689" y="65172"/>
                                </a:lnTo>
                                <a:lnTo>
                                  <a:pt x="52197" y="71120"/>
                                </a:lnTo>
                                <a:lnTo>
                                  <a:pt x="60579" y="77978"/>
                                </a:lnTo>
                                <a:lnTo>
                                  <a:pt x="69469" y="84709"/>
                                </a:lnTo>
                                <a:lnTo>
                                  <a:pt x="78994" y="91440"/>
                                </a:lnTo>
                                <a:lnTo>
                                  <a:pt x="84201" y="94869"/>
                                </a:lnTo>
                                <a:lnTo>
                                  <a:pt x="73787" y="110871"/>
                                </a:lnTo>
                                <a:lnTo>
                                  <a:pt x="68580" y="107442"/>
                                </a:lnTo>
                                <a:lnTo>
                                  <a:pt x="58420" y="100203"/>
                                </a:lnTo>
                                <a:lnTo>
                                  <a:pt x="49022" y="93091"/>
                                </a:lnTo>
                                <a:lnTo>
                                  <a:pt x="40259" y="85979"/>
                                </a:lnTo>
                                <a:lnTo>
                                  <a:pt x="32004" y="78613"/>
                                </a:lnTo>
                                <a:cubicBezTo>
                                  <a:pt x="31369" y="77978"/>
                                  <a:pt x="30861" y="77343"/>
                                  <a:pt x="30353" y="76581"/>
                                </a:cubicBezTo>
                                <a:lnTo>
                                  <a:pt x="27215" y="71644"/>
                                </a:lnTo>
                                <a:lnTo>
                                  <a:pt x="762" y="85217"/>
                                </a:lnTo>
                                <a:lnTo>
                                  <a:pt x="0" y="0"/>
                                </a:lnTo>
                                <a:close/>
                              </a:path>
                            </a:pathLst>
                          </a:custGeom>
                          <a:solidFill>
                            <a:srgbClr val="4F81BD"/>
                          </a:solidFill>
                          <a:ln w="0" cap="flat">
                            <a:noFill/>
                            <a:miter lim="127000"/>
                          </a:ln>
                          <a:effectLst/>
                        </wps:spPr>
                        <wps:bodyPr/>
                      </wps:wsp>
                      <wps:wsp>
                        <wps:cNvPr id="20" name="Shape 617"/>
                        <wps:cNvSpPr/>
                        <wps:spPr>
                          <a:xfrm>
                            <a:off x="2780792" y="2036953"/>
                            <a:ext cx="46990" cy="74676"/>
                          </a:xfrm>
                          <a:custGeom>
                            <a:avLst/>
                            <a:gdLst/>
                            <a:ahLst/>
                            <a:cxnLst/>
                            <a:rect l="0" t="0" r="0" b="0"/>
                            <a:pathLst>
                              <a:path w="46990" h="74676">
                                <a:moveTo>
                                  <a:pt x="28067" y="0"/>
                                </a:moveTo>
                                <a:lnTo>
                                  <a:pt x="46990" y="889"/>
                                </a:lnTo>
                                <a:lnTo>
                                  <a:pt x="46609" y="8763"/>
                                </a:lnTo>
                                <a:lnTo>
                                  <a:pt x="45339" y="17526"/>
                                </a:lnTo>
                                <a:lnTo>
                                  <a:pt x="43180" y="26162"/>
                                </a:lnTo>
                                <a:lnTo>
                                  <a:pt x="40132" y="34671"/>
                                </a:lnTo>
                                <a:lnTo>
                                  <a:pt x="36322" y="43180"/>
                                </a:lnTo>
                                <a:lnTo>
                                  <a:pt x="31623" y="51562"/>
                                </a:lnTo>
                                <a:lnTo>
                                  <a:pt x="26416" y="59817"/>
                                </a:lnTo>
                                <a:lnTo>
                                  <a:pt x="20193" y="68072"/>
                                </a:lnTo>
                                <a:lnTo>
                                  <a:pt x="14605" y="74676"/>
                                </a:lnTo>
                                <a:lnTo>
                                  <a:pt x="0" y="62484"/>
                                </a:lnTo>
                                <a:lnTo>
                                  <a:pt x="4953" y="56642"/>
                                </a:lnTo>
                                <a:lnTo>
                                  <a:pt x="10414" y="49530"/>
                                </a:lnTo>
                                <a:lnTo>
                                  <a:pt x="14986" y="42291"/>
                                </a:lnTo>
                                <a:lnTo>
                                  <a:pt x="18923" y="35306"/>
                                </a:lnTo>
                                <a:lnTo>
                                  <a:pt x="22225" y="28321"/>
                                </a:lnTo>
                                <a:lnTo>
                                  <a:pt x="24638" y="21463"/>
                                </a:lnTo>
                                <a:lnTo>
                                  <a:pt x="26543" y="14478"/>
                                </a:lnTo>
                                <a:lnTo>
                                  <a:pt x="27686" y="7747"/>
                                </a:lnTo>
                                <a:lnTo>
                                  <a:pt x="28067" y="0"/>
                                </a:lnTo>
                                <a:close/>
                              </a:path>
                            </a:pathLst>
                          </a:custGeom>
                          <a:solidFill>
                            <a:srgbClr val="4F81BD"/>
                          </a:solidFill>
                          <a:ln w="0" cap="flat">
                            <a:noFill/>
                            <a:miter lim="127000"/>
                          </a:ln>
                          <a:effectLst/>
                        </wps:spPr>
                        <wps:bodyPr/>
                      </wps:wsp>
                      <wps:wsp>
                        <wps:cNvPr id="21" name="Shape 618"/>
                        <wps:cNvSpPr/>
                        <wps:spPr>
                          <a:xfrm>
                            <a:off x="1200404" y="321818"/>
                            <a:ext cx="1622171" cy="99695"/>
                          </a:xfrm>
                          <a:custGeom>
                            <a:avLst/>
                            <a:gdLst/>
                            <a:ahLst/>
                            <a:cxnLst/>
                            <a:rect l="0" t="0" r="0" b="0"/>
                            <a:pathLst>
                              <a:path w="1622171" h="99695">
                                <a:moveTo>
                                  <a:pt x="83185" y="1270"/>
                                </a:moveTo>
                                <a:cubicBezTo>
                                  <a:pt x="85471" y="0"/>
                                  <a:pt x="88392" y="762"/>
                                  <a:pt x="89789" y="3048"/>
                                </a:cubicBezTo>
                                <a:cubicBezTo>
                                  <a:pt x="91059" y="5207"/>
                                  <a:pt x="90297" y="8128"/>
                                  <a:pt x="88011" y="9525"/>
                                </a:cubicBezTo>
                                <a:lnTo>
                                  <a:pt x="27051" y="45085"/>
                                </a:lnTo>
                                <a:lnTo>
                                  <a:pt x="1594993" y="45085"/>
                                </a:lnTo>
                                <a:lnTo>
                                  <a:pt x="1534033" y="9525"/>
                                </a:lnTo>
                                <a:cubicBezTo>
                                  <a:pt x="1531747" y="8128"/>
                                  <a:pt x="1530985" y="5207"/>
                                  <a:pt x="1532382" y="3048"/>
                                </a:cubicBezTo>
                                <a:cubicBezTo>
                                  <a:pt x="1533652" y="762"/>
                                  <a:pt x="1536573" y="0"/>
                                  <a:pt x="1538859" y="1270"/>
                                </a:cubicBezTo>
                                <a:lnTo>
                                  <a:pt x="1622171" y="49785"/>
                                </a:lnTo>
                                <a:lnTo>
                                  <a:pt x="1538859" y="98425"/>
                                </a:lnTo>
                                <a:cubicBezTo>
                                  <a:pt x="1536573" y="99695"/>
                                  <a:pt x="1533652" y="98934"/>
                                  <a:pt x="1532382" y="96648"/>
                                </a:cubicBezTo>
                                <a:cubicBezTo>
                                  <a:pt x="1530985" y="94488"/>
                                  <a:pt x="1531747" y="91567"/>
                                  <a:pt x="1534033" y="90170"/>
                                </a:cubicBezTo>
                                <a:lnTo>
                                  <a:pt x="1594994" y="54610"/>
                                </a:lnTo>
                                <a:lnTo>
                                  <a:pt x="27050" y="54610"/>
                                </a:lnTo>
                                <a:lnTo>
                                  <a:pt x="88011" y="90170"/>
                                </a:lnTo>
                                <a:cubicBezTo>
                                  <a:pt x="90297" y="91567"/>
                                  <a:pt x="91059" y="94488"/>
                                  <a:pt x="89789" y="96648"/>
                                </a:cubicBezTo>
                                <a:cubicBezTo>
                                  <a:pt x="88392" y="98934"/>
                                  <a:pt x="85471" y="99695"/>
                                  <a:pt x="83185" y="98425"/>
                                </a:cubicBezTo>
                                <a:lnTo>
                                  <a:pt x="0" y="49785"/>
                                </a:lnTo>
                                <a:lnTo>
                                  <a:pt x="83185" y="1270"/>
                                </a:lnTo>
                                <a:close/>
                              </a:path>
                            </a:pathLst>
                          </a:custGeom>
                          <a:solidFill>
                            <a:srgbClr val="000000"/>
                          </a:solidFill>
                          <a:ln w="0" cap="flat">
                            <a:noFill/>
                            <a:miter lim="127000"/>
                          </a:ln>
                          <a:effectLst/>
                        </wps:spPr>
                        <wps:bodyPr/>
                      </wps:wsp>
                      <wps:wsp>
                        <wps:cNvPr id="22" name="Shape 619"/>
                        <wps:cNvSpPr/>
                        <wps:spPr>
                          <a:xfrm>
                            <a:off x="2818257" y="1271143"/>
                            <a:ext cx="86741" cy="92837"/>
                          </a:xfrm>
                          <a:custGeom>
                            <a:avLst/>
                            <a:gdLst/>
                            <a:ahLst/>
                            <a:cxnLst/>
                            <a:rect l="0" t="0" r="0" b="0"/>
                            <a:pathLst>
                              <a:path w="86741" h="92837">
                                <a:moveTo>
                                  <a:pt x="78359" y="0"/>
                                </a:moveTo>
                                <a:lnTo>
                                  <a:pt x="86741" y="17145"/>
                                </a:lnTo>
                                <a:lnTo>
                                  <a:pt x="83566" y="18669"/>
                                </a:lnTo>
                                <a:lnTo>
                                  <a:pt x="66040" y="28448"/>
                                </a:lnTo>
                                <a:lnTo>
                                  <a:pt x="52689" y="36944"/>
                                </a:lnTo>
                                <a:lnTo>
                                  <a:pt x="75438" y="53340"/>
                                </a:lnTo>
                                <a:lnTo>
                                  <a:pt x="0" y="92837"/>
                                </a:lnTo>
                                <a:lnTo>
                                  <a:pt x="13589" y="8763"/>
                                </a:lnTo>
                                <a:lnTo>
                                  <a:pt x="37077" y="25692"/>
                                </a:lnTo>
                                <a:lnTo>
                                  <a:pt x="37973" y="24511"/>
                                </a:lnTo>
                                <a:cubicBezTo>
                                  <a:pt x="38735" y="23623"/>
                                  <a:pt x="39497" y="22860"/>
                                  <a:pt x="40513" y="22225"/>
                                </a:cubicBezTo>
                                <a:lnTo>
                                  <a:pt x="56769" y="11811"/>
                                </a:lnTo>
                                <a:lnTo>
                                  <a:pt x="75057" y="1651"/>
                                </a:lnTo>
                                <a:lnTo>
                                  <a:pt x="78359" y="0"/>
                                </a:lnTo>
                                <a:close/>
                              </a:path>
                            </a:pathLst>
                          </a:custGeom>
                          <a:solidFill>
                            <a:srgbClr val="4F81BD"/>
                          </a:solidFill>
                          <a:ln w="0" cap="flat">
                            <a:noFill/>
                            <a:miter lim="127000"/>
                          </a:ln>
                          <a:effectLst/>
                        </wps:spPr>
                        <wps:bodyPr/>
                      </wps:wsp>
                      <wps:wsp>
                        <wps:cNvPr id="23" name="Shape 620"/>
                        <wps:cNvSpPr/>
                        <wps:spPr>
                          <a:xfrm>
                            <a:off x="2949448" y="1222375"/>
                            <a:ext cx="78232" cy="42926"/>
                          </a:xfrm>
                          <a:custGeom>
                            <a:avLst/>
                            <a:gdLst/>
                            <a:ahLst/>
                            <a:cxnLst/>
                            <a:rect l="0" t="0" r="0" b="0"/>
                            <a:pathLst>
                              <a:path w="78232" h="42926">
                                <a:moveTo>
                                  <a:pt x="72771" y="0"/>
                                </a:moveTo>
                                <a:lnTo>
                                  <a:pt x="78232" y="18288"/>
                                </a:lnTo>
                                <a:lnTo>
                                  <a:pt x="69088" y="20955"/>
                                </a:lnTo>
                                <a:lnTo>
                                  <a:pt x="42164" y="29845"/>
                                </a:lnTo>
                                <a:lnTo>
                                  <a:pt x="16891" y="38989"/>
                                </a:lnTo>
                                <a:lnTo>
                                  <a:pt x="6985" y="42926"/>
                                </a:lnTo>
                                <a:lnTo>
                                  <a:pt x="0" y="25273"/>
                                </a:lnTo>
                                <a:lnTo>
                                  <a:pt x="10414" y="21082"/>
                                </a:lnTo>
                                <a:lnTo>
                                  <a:pt x="36195" y="11811"/>
                                </a:lnTo>
                                <a:lnTo>
                                  <a:pt x="63627" y="2794"/>
                                </a:lnTo>
                                <a:lnTo>
                                  <a:pt x="72771" y="0"/>
                                </a:lnTo>
                                <a:close/>
                              </a:path>
                            </a:pathLst>
                          </a:custGeom>
                          <a:solidFill>
                            <a:srgbClr val="4F81BD"/>
                          </a:solidFill>
                          <a:ln w="0" cap="flat">
                            <a:noFill/>
                            <a:miter lim="127000"/>
                          </a:ln>
                          <a:effectLst/>
                        </wps:spPr>
                        <wps:bodyPr/>
                      </wps:wsp>
                      <wps:wsp>
                        <wps:cNvPr id="24" name="Shape 621"/>
                        <wps:cNvSpPr/>
                        <wps:spPr>
                          <a:xfrm>
                            <a:off x="3077591" y="1188974"/>
                            <a:ext cx="78486" cy="36195"/>
                          </a:xfrm>
                          <a:custGeom>
                            <a:avLst/>
                            <a:gdLst/>
                            <a:ahLst/>
                            <a:cxnLst/>
                            <a:rect l="0" t="0" r="0" b="0"/>
                            <a:pathLst>
                              <a:path w="78486" h="36195">
                                <a:moveTo>
                                  <a:pt x="74422" y="0"/>
                                </a:moveTo>
                                <a:lnTo>
                                  <a:pt x="78486" y="18669"/>
                                </a:lnTo>
                                <a:lnTo>
                                  <a:pt x="64262" y="21717"/>
                                </a:lnTo>
                                <a:lnTo>
                                  <a:pt x="31369" y="29464"/>
                                </a:lnTo>
                                <a:lnTo>
                                  <a:pt x="4699" y="36195"/>
                                </a:lnTo>
                                <a:lnTo>
                                  <a:pt x="0" y="17780"/>
                                </a:lnTo>
                                <a:lnTo>
                                  <a:pt x="26924" y="10795"/>
                                </a:lnTo>
                                <a:lnTo>
                                  <a:pt x="60198" y="3048"/>
                                </a:lnTo>
                                <a:lnTo>
                                  <a:pt x="74422" y="0"/>
                                </a:lnTo>
                                <a:close/>
                              </a:path>
                            </a:pathLst>
                          </a:custGeom>
                          <a:solidFill>
                            <a:srgbClr val="4F81BD"/>
                          </a:solidFill>
                          <a:ln w="0" cap="flat">
                            <a:noFill/>
                            <a:miter lim="127000"/>
                          </a:ln>
                          <a:effectLst/>
                        </wps:spPr>
                        <wps:bodyPr/>
                      </wps:wsp>
                      <wps:wsp>
                        <wps:cNvPr id="25" name="Shape 622"/>
                        <wps:cNvSpPr/>
                        <wps:spPr>
                          <a:xfrm>
                            <a:off x="3208401" y="1164463"/>
                            <a:ext cx="78105" cy="31750"/>
                          </a:xfrm>
                          <a:custGeom>
                            <a:avLst/>
                            <a:gdLst/>
                            <a:ahLst/>
                            <a:cxnLst/>
                            <a:rect l="0" t="0" r="0" b="0"/>
                            <a:pathLst>
                              <a:path w="78105" h="31750">
                                <a:moveTo>
                                  <a:pt x="75311" y="0"/>
                                </a:moveTo>
                                <a:lnTo>
                                  <a:pt x="78105" y="18796"/>
                                </a:lnTo>
                                <a:lnTo>
                                  <a:pt x="77089" y="19050"/>
                                </a:lnTo>
                                <a:lnTo>
                                  <a:pt x="39624" y="25273"/>
                                </a:lnTo>
                                <a:lnTo>
                                  <a:pt x="3302" y="31750"/>
                                </a:lnTo>
                                <a:lnTo>
                                  <a:pt x="0" y="13081"/>
                                </a:lnTo>
                                <a:lnTo>
                                  <a:pt x="36449" y="6477"/>
                                </a:lnTo>
                                <a:lnTo>
                                  <a:pt x="74295" y="127"/>
                                </a:lnTo>
                                <a:lnTo>
                                  <a:pt x="75311" y="0"/>
                                </a:lnTo>
                                <a:close/>
                              </a:path>
                            </a:pathLst>
                          </a:custGeom>
                          <a:solidFill>
                            <a:srgbClr val="4F81BD"/>
                          </a:solidFill>
                          <a:ln w="0" cap="flat">
                            <a:noFill/>
                            <a:miter lim="127000"/>
                          </a:ln>
                          <a:effectLst/>
                        </wps:spPr>
                        <wps:bodyPr/>
                      </wps:wsp>
                      <wps:wsp>
                        <wps:cNvPr id="26" name="Shape 623"/>
                        <wps:cNvSpPr/>
                        <wps:spPr>
                          <a:xfrm>
                            <a:off x="3340354" y="1146937"/>
                            <a:ext cx="77978" cy="28194"/>
                          </a:xfrm>
                          <a:custGeom>
                            <a:avLst/>
                            <a:gdLst/>
                            <a:ahLst/>
                            <a:cxnLst/>
                            <a:rect l="0" t="0" r="0" b="0"/>
                            <a:pathLst>
                              <a:path w="77978" h="28194">
                                <a:moveTo>
                                  <a:pt x="75946" y="0"/>
                                </a:moveTo>
                                <a:lnTo>
                                  <a:pt x="77978" y="19050"/>
                                </a:lnTo>
                                <a:lnTo>
                                  <a:pt x="62992" y="20574"/>
                                </a:lnTo>
                                <a:lnTo>
                                  <a:pt x="22987" y="25400"/>
                                </a:lnTo>
                                <a:lnTo>
                                  <a:pt x="2667" y="28194"/>
                                </a:lnTo>
                                <a:lnTo>
                                  <a:pt x="0" y="9271"/>
                                </a:lnTo>
                                <a:lnTo>
                                  <a:pt x="20701" y="6477"/>
                                </a:lnTo>
                                <a:lnTo>
                                  <a:pt x="61087" y="1651"/>
                                </a:lnTo>
                                <a:lnTo>
                                  <a:pt x="75946" y="0"/>
                                </a:lnTo>
                                <a:close/>
                              </a:path>
                            </a:pathLst>
                          </a:custGeom>
                          <a:solidFill>
                            <a:srgbClr val="4F81BD"/>
                          </a:solidFill>
                          <a:ln w="0" cap="flat">
                            <a:noFill/>
                            <a:miter lim="127000"/>
                          </a:ln>
                          <a:effectLst/>
                        </wps:spPr>
                        <wps:bodyPr/>
                      </wps:wsp>
                      <wps:wsp>
                        <wps:cNvPr id="27" name="Shape 624"/>
                        <wps:cNvSpPr/>
                        <wps:spPr>
                          <a:xfrm>
                            <a:off x="3473323" y="1135507"/>
                            <a:ext cx="77470" cy="24765"/>
                          </a:xfrm>
                          <a:custGeom>
                            <a:avLst/>
                            <a:gdLst/>
                            <a:ahLst/>
                            <a:cxnLst/>
                            <a:rect l="0" t="0" r="0" b="0"/>
                            <a:pathLst>
                              <a:path w="77470" h="24765">
                                <a:moveTo>
                                  <a:pt x="76200" y="0"/>
                                </a:moveTo>
                                <a:lnTo>
                                  <a:pt x="77470" y="19050"/>
                                </a:lnTo>
                                <a:lnTo>
                                  <a:pt x="54102" y="20574"/>
                                </a:lnTo>
                                <a:lnTo>
                                  <a:pt x="12192" y="23876"/>
                                </a:lnTo>
                                <a:lnTo>
                                  <a:pt x="1778" y="24765"/>
                                </a:lnTo>
                                <a:lnTo>
                                  <a:pt x="0" y="5842"/>
                                </a:lnTo>
                                <a:lnTo>
                                  <a:pt x="10668" y="4826"/>
                                </a:lnTo>
                                <a:lnTo>
                                  <a:pt x="52832" y="1524"/>
                                </a:lnTo>
                                <a:lnTo>
                                  <a:pt x="76200" y="0"/>
                                </a:lnTo>
                                <a:close/>
                              </a:path>
                            </a:pathLst>
                          </a:custGeom>
                          <a:solidFill>
                            <a:srgbClr val="4F81BD"/>
                          </a:solidFill>
                          <a:ln w="0" cap="flat">
                            <a:noFill/>
                            <a:miter lim="127000"/>
                          </a:ln>
                          <a:effectLst/>
                        </wps:spPr>
                        <wps:bodyPr/>
                      </wps:wsp>
                      <wps:wsp>
                        <wps:cNvPr id="28" name="Shape 625"/>
                        <wps:cNvSpPr/>
                        <wps:spPr>
                          <a:xfrm>
                            <a:off x="3606800" y="1129792"/>
                            <a:ext cx="76835" cy="21590"/>
                          </a:xfrm>
                          <a:custGeom>
                            <a:avLst/>
                            <a:gdLst/>
                            <a:ahLst/>
                            <a:cxnLst/>
                            <a:rect l="0" t="0" r="0" b="0"/>
                            <a:pathLst>
                              <a:path w="76835" h="21590">
                                <a:moveTo>
                                  <a:pt x="76327" y="0"/>
                                </a:moveTo>
                                <a:lnTo>
                                  <a:pt x="76835" y="19050"/>
                                </a:lnTo>
                                <a:lnTo>
                                  <a:pt x="48387" y="19812"/>
                                </a:lnTo>
                                <a:lnTo>
                                  <a:pt x="5461" y="21336"/>
                                </a:lnTo>
                                <a:lnTo>
                                  <a:pt x="889" y="21590"/>
                                </a:lnTo>
                                <a:lnTo>
                                  <a:pt x="0" y="2540"/>
                                </a:lnTo>
                                <a:lnTo>
                                  <a:pt x="4826" y="2286"/>
                                </a:lnTo>
                                <a:lnTo>
                                  <a:pt x="48006" y="762"/>
                                </a:lnTo>
                                <a:lnTo>
                                  <a:pt x="76327" y="0"/>
                                </a:lnTo>
                                <a:close/>
                              </a:path>
                            </a:pathLst>
                          </a:custGeom>
                          <a:solidFill>
                            <a:srgbClr val="4F81BD"/>
                          </a:solidFill>
                          <a:ln w="0" cap="flat">
                            <a:noFill/>
                            <a:miter lim="127000"/>
                          </a:ln>
                          <a:effectLst/>
                        </wps:spPr>
                        <wps:bodyPr/>
                      </wps:wsp>
                      <wps:wsp>
                        <wps:cNvPr id="29" name="Shape 626"/>
                        <wps:cNvSpPr/>
                        <wps:spPr>
                          <a:xfrm>
                            <a:off x="3740404" y="1127125"/>
                            <a:ext cx="76708" cy="20827"/>
                          </a:xfrm>
                          <a:custGeom>
                            <a:avLst/>
                            <a:gdLst/>
                            <a:ahLst/>
                            <a:cxnLst/>
                            <a:rect l="0" t="0" r="0" b="0"/>
                            <a:pathLst>
                              <a:path w="76708" h="20827">
                                <a:moveTo>
                                  <a:pt x="75946" y="0"/>
                                </a:moveTo>
                                <a:lnTo>
                                  <a:pt x="76708" y="19050"/>
                                </a:lnTo>
                                <a:lnTo>
                                  <a:pt x="44323" y="20193"/>
                                </a:lnTo>
                                <a:lnTo>
                                  <a:pt x="762" y="20827"/>
                                </a:lnTo>
                                <a:lnTo>
                                  <a:pt x="254" y="20827"/>
                                </a:lnTo>
                                <a:lnTo>
                                  <a:pt x="0" y="1777"/>
                                </a:lnTo>
                                <a:lnTo>
                                  <a:pt x="635" y="1777"/>
                                </a:lnTo>
                                <a:lnTo>
                                  <a:pt x="43561" y="1270"/>
                                </a:lnTo>
                                <a:lnTo>
                                  <a:pt x="75946" y="0"/>
                                </a:lnTo>
                                <a:close/>
                              </a:path>
                            </a:pathLst>
                          </a:custGeom>
                          <a:solidFill>
                            <a:srgbClr val="4F81BD"/>
                          </a:solidFill>
                          <a:ln w="0" cap="flat">
                            <a:noFill/>
                            <a:miter lim="127000"/>
                          </a:ln>
                          <a:effectLst/>
                        </wps:spPr>
                        <wps:bodyPr/>
                      </wps:wsp>
                      <wps:wsp>
                        <wps:cNvPr id="30" name="Shape 627"/>
                        <wps:cNvSpPr/>
                        <wps:spPr>
                          <a:xfrm>
                            <a:off x="3872992" y="1116457"/>
                            <a:ext cx="77597" cy="26289"/>
                          </a:xfrm>
                          <a:custGeom>
                            <a:avLst/>
                            <a:gdLst/>
                            <a:ahLst/>
                            <a:cxnLst/>
                            <a:rect l="0" t="0" r="0" b="0"/>
                            <a:pathLst>
                              <a:path w="77597" h="26289">
                                <a:moveTo>
                                  <a:pt x="75565" y="0"/>
                                </a:moveTo>
                                <a:lnTo>
                                  <a:pt x="77597" y="18923"/>
                                </a:lnTo>
                                <a:lnTo>
                                  <a:pt x="41529" y="22987"/>
                                </a:lnTo>
                                <a:lnTo>
                                  <a:pt x="1524" y="26289"/>
                                </a:lnTo>
                                <a:lnTo>
                                  <a:pt x="0" y="7366"/>
                                </a:lnTo>
                                <a:lnTo>
                                  <a:pt x="39370" y="4064"/>
                                </a:lnTo>
                                <a:lnTo>
                                  <a:pt x="75565" y="0"/>
                                </a:lnTo>
                                <a:close/>
                              </a:path>
                            </a:pathLst>
                          </a:custGeom>
                          <a:solidFill>
                            <a:srgbClr val="4F81BD"/>
                          </a:solidFill>
                          <a:ln w="0" cap="flat">
                            <a:noFill/>
                            <a:miter lim="127000"/>
                          </a:ln>
                          <a:effectLst/>
                        </wps:spPr>
                        <wps:bodyPr/>
                      </wps:wsp>
                      <wps:wsp>
                        <wps:cNvPr id="31" name="Shape 628"/>
                        <wps:cNvSpPr/>
                        <wps:spPr>
                          <a:xfrm>
                            <a:off x="4004691" y="1096137"/>
                            <a:ext cx="78486" cy="31496"/>
                          </a:xfrm>
                          <a:custGeom>
                            <a:avLst/>
                            <a:gdLst/>
                            <a:ahLst/>
                            <a:cxnLst/>
                            <a:rect l="0" t="0" r="0" b="0"/>
                            <a:pathLst>
                              <a:path w="78486" h="31496">
                                <a:moveTo>
                                  <a:pt x="74676" y="0"/>
                                </a:moveTo>
                                <a:lnTo>
                                  <a:pt x="78486" y="18669"/>
                                </a:lnTo>
                                <a:lnTo>
                                  <a:pt x="77470" y="18796"/>
                                </a:lnTo>
                                <a:lnTo>
                                  <a:pt x="36322" y="26289"/>
                                </a:lnTo>
                                <a:lnTo>
                                  <a:pt x="3048" y="31496"/>
                                </a:lnTo>
                                <a:lnTo>
                                  <a:pt x="0" y="12700"/>
                                </a:lnTo>
                                <a:lnTo>
                                  <a:pt x="32893" y="7620"/>
                                </a:lnTo>
                                <a:lnTo>
                                  <a:pt x="73533" y="253"/>
                                </a:lnTo>
                                <a:lnTo>
                                  <a:pt x="74676" y="0"/>
                                </a:lnTo>
                                <a:close/>
                              </a:path>
                            </a:pathLst>
                          </a:custGeom>
                          <a:solidFill>
                            <a:srgbClr val="4F81BD"/>
                          </a:solidFill>
                          <a:ln w="0" cap="flat">
                            <a:noFill/>
                            <a:miter lim="127000"/>
                          </a:ln>
                          <a:effectLst/>
                        </wps:spPr>
                        <wps:bodyPr/>
                      </wps:wsp>
                      <wps:wsp>
                        <wps:cNvPr id="32" name="Shape 629"/>
                        <wps:cNvSpPr/>
                        <wps:spPr>
                          <a:xfrm>
                            <a:off x="4135120" y="1065784"/>
                            <a:ext cx="78486" cy="37084"/>
                          </a:xfrm>
                          <a:custGeom>
                            <a:avLst/>
                            <a:gdLst/>
                            <a:ahLst/>
                            <a:cxnLst/>
                            <a:rect l="0" t="0" r="0" b="0"/>
                            <a:pathLst>
                              <a:path w="78486" h="37084">
                                <a:moveTo>
                                  <a:pt x="73406" y="0"/>
                                </a:moveTo>
                                <a:lnTo>
                                  <a:pt x="78486" y="18288"/>
                                </a:lnTo>
                                <a:lnTo>
                                  <a:pt x="66040" y="21844"/>
                                </a:lnTo>
                                <a:lnTo>
                                  <a:pt x="27178" y="31750"/>
                                </a:lnTo>
                                <a:lnTo>
                                  <a:pt x="4191" y="37084"/>
                                </a:lnTo>
                                <a:lnTo>
                                  <a:pt x="0" y="18415"/>
                                </a:lnTo>
                                <a:lnTo>
                                  <a:pt x="22479" y="13335"/>
                                </a:lnTo>
                                <a:lnTo>
                                  <a:pt x="60833" y="3429"/>
                                </a:lnTo>
                                <a:lnTo>
                                  <a:pt x="73406" y="0"/>
                                </a:lnTo>
                                <a:close/>
                              </a:path>
                            </a:pathLst>
                          </a:custGeom>
                          <a:solidFill>
                            <a:srgbClr val="4F81BD"/>
                          </a:solidFill>
                          <a:ln w="0" cap="flat">
                            <a:noFill/>
                            <a:miter lim="127000"/>
                          </a:ln>
                          <a:effectLst/>
                        </wps:spPr>
                        <wps:bodyPr/>
                      </wps:wsp>
                      <wps:wsp>
                        <wps:cNvPr id="33" name="Shape 630"/>
                        <wps:cNvSpPr/>
                        <wps:spPr>
                          <a:xfrm>
                            <a:off x="4263136" y="1024890"/>
                            <a:ext cx="78105" cy="42925"/>
                          </a:xfrm>
                          <a:custGeom>
                            <a:avLst/>
                            <a:gdLst/>
                            <a:ahLst/>
                            <a:cxnLst/>
                            <a:rect l="0" t="0" r="0" b="0"/>
                            <a:pathLst>
                              <a:path w="78105" h="42925">
                                <a:moveTo>
                                  <a:pt x="71501" y="0"/>
                                </a:moveTo>
                                <a:lnTo>
                                  <a:pt x="78105" y="17907"/>
                                </a:lnTo>
                                <a:lnTo>
                                  <a:pt x="48641" y="28701"/>
                                </a:lnTo>
                                <a:lnTo>
                                  <a:pt x="12827" y="40767"/>
                                </a:lnTo>
                                <a:lnTo>
                                  <a:pt x="5588" y="42925"/>
                                </a:lnTo>
                                <a:lnTo>
                                  <a:pt x="0" y="24764"/>
                                </a:lnTo>
                                <a:lnTo>
                                  <a:pt x="6731" y="22733"/>
                                </a:lnTo>
                                <a:lnTo>
                                  <a:pt x="42164" y="10795"/>
                                </a:lnTo>
                                <a:lnTo>
                                  <a:pt x="71501" y="0"/>
                                </a:lnTo>
                                <a:close/>
                              </a:path>
                            </a:pathLst>
                          </a:custGeom>
                          <a:solidFill>
                            <a:srgbClr val="4F81BD"/>
                          </a:solidFill>
                          <a:ln w="0" cap="flat">
                            <a:noFill/>
                            <a:miter lim="127000"/>
                          </a:ln>
                          <a:effectLst/>
                        </wps:spPr>
                        <wps:bodyPr/>
                      </wps:wsp>
                      <wps:wsp>
                        <wps:cNvPr id="34" name="Shape 631"/>
                        <wps:cNvSpPr/>
                        <wps:spPr>
                          <a:xfrm>
                            <a:off x="4387088" y="971296"/>
                            <a:ext cx="76962" cy="49784"/>
                          </a:xfrm>
                          <a:custGeom>
                            <a:avLst/>
                            <a:gdLst/>
                            <a:ahLst/>
                            <a:cxnLst/>
                            <a:rect l="0" t="0" r="0" b="0"/>
                            <a:pathLst>
                              <a:path w="76962" h="49784">
                                <a:moveTo>
                                  <a:pt x="68199" y="0"/>
                                </a:moveTo>
                                <a:lnTo>
                                  <a:pt x="76962" y="16891"/>
                                </a:lnTo>
                                <a:lnTo>
                                  <a:pt x="55372" y="27940"/>
                                </a:lnTo>
                                <a:lnTo>
                                  <a:pt x="24765" y="42418"/>
                                </a:lnTo>
                                <a:lnTo>
                                  <a:pt x="7620" y="49784"/>
                                </a:lnTo>
                                <a:lnTo>
                                  <a:pt x="0" y="32385"/>
                                </a:lnTo>
                                <a:lnTo>
                                  <a:pt x="16637" y="25146"/>
                                </a:lnTo>
                                <a:lnTo>
                                  <a:pt x="46736" y="11049"/>
                                </a:lnTo>
                                <a:lnTo>
                                  <a:pt x="68199" y="0"/>
                                </a:lnTo>
                                <a:close/>
                              </a:path>
                            </a:pathLst>
                          </a:custGeom>
                          <a:solidFill>
                            <a:srgbClr val="4F81BD"/>
                          </a:solidFill>
                          <a:ln w="0" cap="flat">
                            <a:noFill/>
                            <a:miter lim="127000"/>
                          </a:ln>
                          <a:effectLst/>
                        </wps:spPr>
                        <wps:bodyPr/>
                      </wps:wsp>
                      <wps:wsp>
                        <wps:cNvPr id="35" name="Shape 632"/>
                        <wps:cNvSpPr/>
                        <wps:spPr>
                          <a:xfrm>
                            <a:off x="4504436" y="900302"/>
                            <a:ext cx="73279" cy="59310"/>
                          </a:xfrm>
                          <a:custGeom>
                            <a:avLst/>
                            <a:gdLst/>
                            <a:ahLst/>
                            <a:cxnLst/>
                            <a:rect l="0" t="0" r="0" b="0"/>
                            <a:pathLst>
                              <a:path w="73279" h="59310">
                                <a:moveTo>
                                  <a:pt x="60960" y="0"/>
                                </a:moveTo>
                                <a:lnTo>
                                  <a:pt x="73279" y="14478"/>
                                </a:lnTo>
                                <a:lnTo>
                                  <a:pt x="67056" y="19813"/>
                                </a:lnTo>
                                <a:lnTo>
                                  <a:pt x="44704" y="36450"/>
                                </a:lnTo>
                                <a:lnTo>
                                  <a:pt x="20574" y="52705"/>
                                </a:lnTo>
                                <a:lnTo>
                                  <a:pt x="9906" y="59310"/>
                                </a:lnTo>
                                <a:lnTo>
                                  <a:pt x="0" y="43053"/>
                                </a:lnTo>
                                <a:lnTo>
                                  <a:pt x="9906" y="36957"/>
                                </a:lnTo>
                                <a:lnTo>
                                  <a:pt x="33274" y="21210"/>
                                </a:lnTo>
                                <a:lnTo>
                                  <a:pt x="54737" y="5207"/>
                                </a:lnTo>
                                <a:lnTo>
                                  <a:pt x="60960" y="0"/>
                                </a:lnTo>
                                <a:close/>
                              </a:path>
                            </a:pathLst>
                          </a:custGeom>
                          <a:solidFill>
                            <a:srgbClr val="4F81BD"/>
                          </a:solidFill>
                          <a:ln w="0" cap="flat">
                            <a:noFill/>
                            <a:miter lim="127000"/>
                          </a:ln>
                          <a:effectLst/>
                        </wps:spPr>
                        <wps:bodyPr/>
                      </wps:wsp>
                      <wps:wsp>
                        <wps:cNvPr id="36" name="Shape 633"/>
                        <wps:cNvSpPr/>
                        <wps:spPr>
                          <a:xfrm>
                            <a:off x="4605909" y="801243"/>
                            <a:ext cx="57277" cy="73534"/>
                          </a:xfrm>
                          <a:custGeom>
                            <a:avLst/>
                            <a:gdLst/>
                            <a:ahLst/>
                            <a:cxnLst/>
                            <a:rect l="0" t="0" r="0" b="0"/>
                            <a:pathLst>
                              <a:path w="57277" h="73534">
                                <a:moveTo>
                                  <a:pt x="39751" y="0"/>
                                </a:moveTo>
                                <a:lnTo>
                                  <a:pt x="57277" y="7239"/>
                                </a:lnTo>
                                <a:lnTo>
                                  <a:pt x="55626" y="11303"/>
                                </a:lnTo>
                                <a:lnTo>
                                  <a:pt x="51308" y="20701"/>
                                </a:lnTo>
                                <a:lnTo>
                                  <a:pt x="46228" y="30099"/>
                                </a:lnTo>
                                <a:lnTo>
                                  <a:pt x="40767" y="39243"/>
                                </a:lnTo>
                                <a:lnTo>
                                  <a:pt x="34544" y="48514"/>
                                </a:lnTo>
                                <a:lnTo>
                                  <a:pt x="20574" y="66422"/>
                                </a:lnTo>
                                <a:lnTo>
                                  <a:pt x="14097" y="73534"/>
                                </a:lnTo>
                                <a:lnTo>
                                  <a:pt x="0" y="60579"/>
                                </a:lnTo>
                                <a:lnTo>
                                  <a:pt x="5461" y="54737"/>
                                </a:lnTo>
                                <a:lnTo>
                                  <a:pt x="18796" y="37847"/>
                                </a:lnTo>
                                <a:lnTo>
                                  <a:pt x="24384" y="29464"/>
                                </a:lnTo>
                                <a:lnTo>
                                  <a:pt x="29464" y="20955"/>
                                </a:lnTo>
                                <a:lnTo>
                                  <a:pt x="34036" y="12573"/>
                                </a:lnTo>
                                <a:lnTo>
                                  <a:pt x="37973" y="4064"/>
                                </a:lnTo>
                                <a:lnTo>
                                  <a:pt x="39751" y="0"/>
                                </a:lnTo>
                                <a:close/>
                              </a:path>
                            </a:pathLst>
                          </a:custGeom>
                          <a:solidFill>
                            <a:srgbClr val="4F81BD"/>
                          </a:solidFill>
                          <a:ln w="0" cap="flat">
                            <a:noFill/>
                            <a:miter lim="127000"/>
                          </a:ln>
                          <a:effectLst/>
                        </wps:spPr>
                        <wps:bodyPr/>
                      </wps:wsp>
                      <wps:wsp>
                        <wps:cNvPr id="37" name="Shape 634"/>
                        <wps:cNvSpPr/>
                        <wps:spPr>
                          <a:xfrm>
                            <a:off x="4648327" y="671702"/>
                            <a:ext cx="25654" cy="77470"/>
                          </a:xfrm>
                          <a:custGeom>
                            <a:avLst/>
                            <a:gdLst/>
                            <a:ahLst/>
                            <a:cxnLst/>
                            <a:rect l="0" t="0" r="0" b="0"/>
                            <a:pathLst>
                              <a:path w="25654" h="77470">
                                <a:moveTo>
                                  <a:pt x="18796" y="0"/>
                                </a:moveTo>
                                <a:lnTo>
                                  <a:pt x="20447" y="10541"/>
                                </a:lnTo>
                                <a:lnTo>
                                  <a:pt x="22733" y="28575"/>
                                </a:lnTo>
                                <a:lnTo>
                                  <a:pt x="24384" y="46737"/>
                                </a:lnTo>
                                <a:lnTo>
                                  <a:pt x="25400" y="65025"/>
                                </a:lnTo>
                                <a:lnTo>
                                  <a:pt x="25654" y="77216"/>
                                </a:lnTo>
                                <a:lnTo>
                                  <a:pt x="6604" y="77470"/>
                                </a:lnTo>
                                <a:lnTo>
                                  <a:pt x="6477" y="66040"/>
                                </a:lnTo>
                                <a:lnTo>
                                  <a:pt x="5461" y="48514"/>
                                </a:lnTo>
                                <a:lnTo>
                                  <a:pt x="3810" y="30862"/>
                                </a:lnTo>
                                <a:lnTo>
                                  <a:pt x="1651" y="13463"/>
                                </a:lnTo>
                                <a:lnTo>
                                  <a:pt x="0" y="3049"/>
                                </a:lnTo>
                                <a:lnTo>
                                  <a:pt x="18796" y="0"/>
                                </a:lnTo>
                                <a:close/>
                              </a:path>
                            </a:pathLst>
                          </a:custGeom>
                          <a:solidFill>
                            <a:srgbClr val="4F81BD"/>
                          </a:solidFill>
                          <a:ln w="0" cap="flat">
                            <a:noFill/>
                            <a:miter lim="127000"/>
                          </a:ln>
                          <a:effectLst/>
                        </wps:spPr>
                        <wps:bodyPr/>
                      </wps:wsp>
                      <wps:wsp>
                        <wps:cNvPr id="38" name="Shape 635"/>
                        <wps:cNvSpPr/>
                        <wps:spPr>
                          <a:xfrm>
                            <a:off x="4611878" y="541527"/>
                            <a:ext cx="43053" cy="78105"/>
                          </a:xfrm>
                          <a:custGeom>
                            <a:avLst/>
                            <a:gdLst/>
                            <a:ahLst/>
                            <a:cxnLst/>
                            <a:rect l="0" t="0" r="0" b="0"/>
                            <a:pathLst>
                              <a:path w="43053" h="78105">
                                <a:moveTo>
                                  <a:pt x="17272" y="0"/>
                                </a:moveTo>
                                <a:lnTo>
                                  <a:pt x="19177" y="4064"/>
                                </a:lnTo>
                                <a:lnTo>
                                  <a:pt x="31623" y="36323"/>
                                </a:lnTo>
                                <a:lnTo>
                                  <a:pt x="42164" y="69977"/>
                                </a:lnTo>
                                <a:lnTo>
                                  <a:pt x="43053" y="73661"/>
                                </a:lnTo>
                                <a:lnTo>
                                  <a:pt x="24511" y="78105"/>
                                </a:lnTo>
                                <a:lnTo>
                                  <a:pt x="24003" y="75692"/>
                                </a:lnTo>
                                <a:lnTo>
                                  <a:pt x="13843" y="43180"/>
                                </a:lnTo>
                                <a:lnTo>
                                  <a:pt x="1778" y="12065"/>
                                </a:lnTo>
                                <a:lnTo>
                                  <a:pt x="0" y="8001"/>
                                </a:lnTo>
                                <a:lnTo>
                                  <a:pt x="17272" y="0"/>
                                </a:lnTo>
                                <a:close/>
                              </a:path>
                            </a:pathLst>
                          </a:custGeom>
                          <a:solidFill>
                            <a:srgbClr val="4F81BD"/>
                          </a:solidFill>
                          <a:ln w="0" cap="flat">
                            <a:noFill/>
                            <a:miter lim="127000"/>
                          </a:ln>
                          <a:effectLst/>
                        </wps:spPr>
                        <wps:bodyPr/>
                      </wps:wsp>
                      <wps:wsp>
                        <wps:cNvPr id="39" name="Shape 636"/>
                        <wps:cNvSpPr/>
                        <wps:spPr>
                          <a:xfrm>
                            <a:off x="4543044" y="426593"/>
                            <a:ext cx="60071" cy="72517"/>
                          </a:xfrm>
                          <a:custGeom>
                            <a:avLst/>
                            <a:gdLst/>
                            <a:ahLst/>
                            <a:cxnLst/>
                            <a:rect l="0" t="0" r="0" b="0"/>
                            <a:pathLst>
                              <a:path w="60071" h="72517">
                                <a:moveTo>
                                  <a:pt x="14224" y="0"/>
                                </a:moveTo>
                                <a:lnTo>
                                  <a:pt x="22606" y="9525"/>
                                </a:lnTo>
                                <a:lnTo>
                                  <a:pt x="32004" y="21210"/>
                                </a:lnTo>
                                <a:lnTo>
                                  <a:pt x="41021" y="33401"/>
                                </a:lnTo>
                                <a:lnTo>
                                  <a:pt x="49784" y="46482"/>
                                </a:lnTo>
                                <a:lnTo>
                                  <a:pt x="58166" y="59817"/>
                                </a:lnTo>
                                <a:lnTo>
                                  <a:pt x="60071" y="63373"/>
                                </a:lnTo>
                                <a:lnTo>
                                  <a:pt x="43434" y="72517"/>
                                </a:lnTo>
                                <a:lnTo>
                                  <a:pt x="42037" y="69977"/>
                                </a:lnTo>
                                <a:lnTo>
                                  <a:pt x="33909" y="57023"/>
                                </a:lnTo>
                                <a:lnTo>
                                  <a:pt x="25781" y="44831"/>
                                </a:lnTo>
                                <a:lnTo>
                                  <a:pt x="17145" y="33148"/>
                                </a:lnTo>
                                <a:lnTo>
                                  <a:pt x="8382" y="22098"/>
                                </a:lnTo>
                                <a:lnTo>
                                  <a:pt x="0" y="12700"/>
                                </a:lnTo>
                                <a:lnTo>
                                  <a:pt x="14224" y="0"/>
                                </a:lnTo>
                                <a:close/>
                              </a:path>
                            </a:pathLst>
                          </a:custGeom>
                          <a:solidFill>
                            <a:srgbClr val="4F81BD"/>
                          </a:solidFill>
                          <a:ln w="0" cap="flat">
                            <a:noFill/>
                            <a:miter lim="127000"/>
                          </a:ln>
                          <a:effectLst/>
                        </wps:spPr>
                        <wps:bodyPr/>
                      </wps:wsp>
                      <wps:wsp>
                        <wps:cNvPr id="40" name="Shape 637"/>
                        <wps:cNvSpPr/>
                        <wps:spPr>
                          <a:xfrm>
                            <a:off x="4435475" y="362203"/>
                            <a:ext cx="76835" cy="41402"/>
                          </a:xfrm>
                          <a:custGeom>
                            <a:avLst/>
                            <a:gdLst/>
                            <a:ahLst/>
                            <a:cxnLst/>
                            <a:rect l="0" t="0" r="0" b="0"/>
                            <a:pathLst>
                              <a:path w="76835" h="41402">
                                <a:moveTo>
                                  <a:pt x="1016" y="0"/>
                                </a:moveTo>
                                <a:lnTo>
                                  <a:pt x="11684" y="508"/>
                                </a:lnTo>
                                <a:lnTo>
                                  <a:pt x="23368" y="2287"/>
                                </a:lnTo>
                                <a:lnTo>
                                  <a:pt x="34925" y="5080"/>
                                </a:lnTo>
                                <a:lnTo>
                                  <a:pt x="46355" y="9017"/>
                                </a:lnTo>
                                <a:lnTo>
                                  <a:pt x="57531" y="14098"/>
                                </a:lnTo>
                                <a:lnTo>
                                  <a:pt x="68580" y="20066"/>
                                </a:lnTo>
                                <a:lnTo>
                                  <a:pt x="76835" y="25274"/>
                                </a:lnTo>
                                <a:lnTo>
                                  <a:pt x="66548" y="41402"/>
                                </a:lnTo>
                                <a:lnTo>
                                  <a:pt x="59436" y="36830"/>
                                </a:lnTo>
                                <a:lnTo>
                                  <a:pt x="49657" y="31497"/>
                                </a:lnTo>
                                <a:lnTo>
                                  <a:pt x="40005" y="27051"/>
                                </a:lnTo>
                                <a:lnTo>
                                  <a:pt x="30226" y="23623"/>
                                </a:lnTo>
                                <a:lnTo>
                                  <a:pt x="20447" y="21082"/>
                                </a:lnTo>
                                <a:lnTo>
                                  <a:pt x="10668" y="19558"/>
                                </a:lnTo>
                                <a:lnTo>
                                  <a:pt x="0" y="18924"/>
                                </a:lnTo>
                                <a:lnTo>
                                  <a:pt x="1016" y="0"/>
                                </a:lnTo>
                                <a:close/>
                              </a:path>
                            </a:pathLst>
                          </a:custGeom>
                          <a:solidFill>
                            <a:srgbClr val="4F81BD"/>
                          </a:solidFill>
                          <a:ln w="0" cap="flat">
                            <a:noFill/>
                            <a:miter lim="127000"/>
                          </a:ln>
                          <a:effectLst/>
                        </wps:spPr>
                        <wps:bodyPr/>
                      </wps:wsp>
                      <wps:wsp>
                        <wps:cNvPr id="41" name="Shape 638"/>
                        <wps:cNvSpPr/>
                        <wps:spPr>
                          <a:xfrm>
                            <a:off x="2822448" y="4445"/>
                            <a:ext cx="1613916" cy="734441"/>
                          </a:xfrm>
                          <a:custGeom>
                            <a:avLst/>
                            <a:gdLst/>
                            <a:ahLst/>
                            <a:cxnLst/>
                            <a:rect l="0" t="0" r="0" b="0"/>
                            <a:pathLst>
                              <a:path w="1613916" h="734441">
                                <a:moveTo>
                                  <a:pt x="122428" y="0"/>
                                </a:moveTo>
                                <a:lnTo>
                                  <a:pt x="1491488" y="0"/>
                                </a:lnTo>
                                <a:cubicBezTo>
                                  <a:pt x="1559179" y="0"/>
                                  <a:pt x="1613916" y="54864"/>
                                  <a:pt x="1613916" y="122428"/>
                                </a:cubicBezTo>
                                <a:lnTo>
                                  <a:pt x="1613916" y="612013"/>
                                </a:lnTo>
                                <a:cubicBezTo>
                                  <a:pt x="1613916" y="679577"/>
                                  <a:pt x="1559179" y="734441"/>
                                  <a:pt x="1491488" y="734441"/>
                                </a:cubicBezTo>
                                <a:lnTo>
                                  <a:pt x="122428" y="734441"/>
                                </a:lnTo>
                                <a:cubicBezTo>
                                  <a:pt x="54737" y="734441"/>
                                  <a:pt x="0" y="679577"/>
                                  <a:pt x="0" y="612013"/>
                                </a:cubicBezTo>
                                <a:lnTo>
                                  <a:pt x="0" y="122428"/>
                                </a:lnTo>
                                <a:cubicBezTo>
                                  <a:pt x="0" y="54864"/>
                                  <a:pt x="54737" y="0"/>
                                  <a:pt x="122428" y="0"/>
                                </a:cubicBezTo>
                                <a:close/>
                              </a:path>
                            </a:pathLst>
                          </a:custGeom>
                          <a:solidFill>
                            <a:srgbClr val="254061"/>
                          </a:solidFill>
                          <a:ln w="0" cap="flat">
                            <a:noFill/>
                            <a:miter lim="127000"/>
                          </a:ln>
                          <a:effectLst/>
                        </wps:spPr>
                        <wps:bodyPr/>
                      </wps:wsp>
                      <wps:wsp>
                        <wps:cNvPr id="42" name="Rectangle 641"/>
                        <wps:cNvSpPr/>
                        <wps:spPr>
                          <a:xfrm>
                            <a:off x="3151505" y="298366"/>
                            <a:ext cx="1276826" cy="255295"/>
                          </a:xfrm>
                          <a:prstGeom prst="rect">
                            <a:avLst/>
                          </a:prstGeom>
                          <a:ln>
                            <a:noFill/>
                          </a:ln>
                        </wps:spPr>
                        <wps:txbx>
                          <w:txbxContent>
                            <w:p w:rsidR="00B3013A" w:rsidRDefault="00B3013A" w:rsidP="00006DD5">
                              <w:pPr>
                                <w:spacing w:after="160" w:line="259" w:lineRule="auto"/>
                              </w:pPr>
                              <w:r>
                                <w:rPr>
                                  <w:color w:val="FFFFFF"/>
                                  <w:sz w:val="32"/>
                                </w:rPr>
                                <w:t>Pojišťovna</w:t>
                              </w:r>
                            </w:p>
                          </w:txbxContent>
                        </wps:txbx>
                        <wps:bodyPr horzOverflow="overflow" vert="horz" lIns="0" tIns="0" rIns="0" bIns="0" rtlCol="0">
                          <a:noAutofit/>
                        </wps:bodyPr>
                      </wps:wsp>
                      <wps:wsp>
                        <wps:cNvPr id="43" name="Rectangle 642"/>
                        <wps:cNvSpPr/>
                        <wps:spPr>
                          <a:xfrm>
                            <a:off x="4109212" y="262224"/>
                            <a:ext cx="75461" cy="302842"/>
                          </a:xfrm>
                          <a:prstGeom prst="rect">
                            <a:avLst/>
                          </a:prstGeom>
                          <a:ln>
                            <a:noFill/>
                          </a:ln>
                        </wps:spPr>
                        <wps:txbx>
                          <w:txbxContent>
                            <w:p w:rsidR="00B3013A" w:rsidRDefault="00B3013A" w:rsidP="00006DD5">
                              <w:pPr>
                                <w:spacing w:after="160" w:line="259" w:lineRule="auto"/>
                              </w:pPr>
                              <w:r>
                                <w:rPr>
                                  <w:color w:val="FFFFFF"/>
                                  <w:sz w:val="32"/>
                                </w:rPr>
                                <w:t xml:space="preserve"> </w:t>
                              </w:r>
                            </w:p>
                          </w:txbxContent>
                        </wps:txbx>
                        <wps:bodyPr horzOverflow="overflow" vert="horz" lIns="0" tIns="0" rIns="0" bIns="0" rtlCol="0">
                          <a:noAutofit/>
                        </wps:bodyPr>
                      </wps:wsp>
                      <wps:wsp>
                        <wps:cNvPr id="44" name="Rectangle 645"/>
                        <wps:cNvSpPr/>
                        <wps:spPr>
                          <a:xfrm>
                            <a:off x="1240252" y="2455935"/>
                            <a:ext cx="1059798" cy="184528"/>
                          </a:xfrm>
                          <a:prstGeom prst="rect">
                            <a:avLst/>
                          </a:prstGeom>
                          <a:ln>
                            <a:noFill/>
                          </a:ln>
                        </wps:spPr>
                        <wps:txbx>
                          <w:txbxContent>
                            <w:p w:rsidR="00B3013A" w:rsidRDefault="00B3013A" w:rsidP="00006DD5">
                              <w:pPr>
                                <w:spacing w:after="160" w:line="259" w:lineRule="auto"/>
                              </w:pPr>
                              <w:r>
                                <w:t>Platba za zboží</w:t>
                              </w:r>
                            </w:p>
                          </w:txbxContent>
                        </wps:txbx>
                        <wps:bodyPr horzOverflow="overflow" vert="horz" lIns="0" tIns="0" rIns="0" bIns="0" rtlCol="0">
                          <a:noAutofit/>
                        </wps:bodyPr>
                      </wps:wsp>
                      <wps:wsp>
                        <wps:cNvPr id="45" name="Rectangle 647"/>
                        <wps:cNvSpPr/>
                        <wps:spPr>
                          <a:xfrm>
                            <a:off x="2124075" y="2448291"/>
                            <a:ext cx="51809" cy="207921"/>
                          </a:xfrm>
                          <a:prstGeom prst="rect">
                            <a:avLst/>
                          </a:prstGeom>
                          <a:ln>
                            <a:noFill/>
                          </a:ln>
                        </wps:spPr>
                        <wps:txbx>
                          <w:txbxContent>
                            <w:p w:rsidR="00B3013A" w:rsidRDefault="00B3013A" w:rsidP="00006DD5">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6" name="Picture 649"/>
                          <pic:cNvPicPr/>
                        </pic:nvPicPr>
                        <pic:blipFill>
                          <a:blip r:embed="rId8"/>
                          <a:stretch>
                            <a:fillRect/>
                          </a:stretch>
                        </pic:blipFill>
                        <pic:spPr>
                          <a:xfrm>
                            <a:off x="1574165" y="126111"/>
                            <a:ext cx="841248" cy="246888"/>
                          </a:xfrm>
                          <a:prstGeom prst="rect">
                            <a:avLst/>
                          </a:prstGeom>
                        </pic:spPr>
                      </pic:pic>
                      <wps:wsp>
                        <wps:cNvPr id="47" name="Rectangle 650"/>
                        <wps:cNvSpPr/>
                        <wps:spPr>
                          <a:xfrm>
                            <a:off x="1666494" y="149464"/>
                            <a:ext cx="723931" cy="207922"/>
                          </a:xfrm>
                          <a:prstGeom prst="rect">
                            <a:avLst/>
                          </a:prstGeom>
                          <a:ln>
                            <a:noFill/>
                          </a:ln>
                        </wps:spPr>
                        <wps:txbx>
                          <w:txbxContent>
                            <w:p w:rsidR="00B3013A" w:rsidRDefault="00B3013A" w:rsidP="00006DD5">
                              <w:pPr>
                                <w:spacing w:after="160" w:line="259" w:lineRule="auto"/>
                              </w:pPr>
                              <w:r>
                                <w:t>Smlouva</w:t>
                              </w:r>
                            </w:p>
                          </w:txbxContent>
                        </wps:txbx>
                        <wps:bodyPr horzOverflow="overflow" vert="horz" lIns="0" tIns="0" rIns="0" bIns="0" rtlCol="0">
                          <a:noAutofit/>
                        </wps:bodyPr>
                      </wps:wsp>
                      <wps:wsp>
                        <wps:cNvPr id="48" name="Rectangle 651"/>
                        <wps:cNvSpPr/>
                        <wps:spPr>
                          <a:xfrm>
                            <a:off x="2209419" y="149464"/>
                            <a:ext cx="51809" cy="207922"/>
                          </a:xfrm>
                          <a:prstGeom prst="rect">
                            <a:avLst/>
                          </a:prstGeom>
                          <a:ln>
                            <a:noFill/>
                          </a:ln>
                        </wps:spPr>
                        <wps:txbx>
                          <w:txbxContent>
                            <w:p w:rsidR="00B3013A" w:rsidRDefault="00B3013A" w:rsidP="00006DD5">
                              <w:pPr>
                                <w:spacing w:after="160" w:line="259" w:lineRule="auto"/>
                              </w:pPr>
                              <w:r>
                                <w:t xml:space="preserve"> </w:t>
                              </w:r>
                            </w:p>
                          </w:txbxContent>
                        </wps:txbx>
                        <wps:bodyPr horzOverflow="overflow" vert="horz" lIns="0" tIns="0" rIns="0" bIns="0" rtlCol="0">
                          <a:noAutofit/>
                        </wps:bodyPr>
                      </wps:wsp>
                      <wps:wsp>
                        <wps:cNvPr id="49" name="Rectangle 654"/>
                        <wps:cNvSpPr/>
                        <wps:spPr>
                          <a:xfrm>
                            <a:off x="2800985" y="951516"/>
                            <a:ext cx="1270093" cy="175277"/>
                          </a:xfrm>
                          <a:prstGeom prst="rect">
                            <a:avLst/>
                          </a:prstGeom>
                          <a:ln>
                            <a:noFill/>
                          </a:ln>
                        </wps:spPr>
                        <wps:txbx>
                          <w:txbxContent>
                            <w:p w:rsidR="00B3013A" w:rsidRDefault="00B3013A" w:rsidP="00006DD5">
                              <w:pPr>
                                <w:spacing w:after="160" w:line="259" w:lineRule="auto"/>
                              </w:pPr>
                              <w:r>
                                <w:t>Platba za zboží</w:t>
                              </w:r>
                            </w:p>
                          </w:txbxContent>
                        </wps:txbx>
                        <wps:bodyPr horzOverflow="overflow" vert="horz" lIns="0" tIns="0" rIns="0" bIns="0" rtlCol="0">
                          <a:noAutofit/>
                        </wps:bodyPr>
                      </wps:wsp>
                      <wps:wsp>
                        <wps:cNvPr id="50" name="Rectangle 655"/>
                        <wps:cNvSpPr/>
                        <wps:spPr>
                          <a:xfrm>
                            <a:off x="3755263" y="926703"/>
                            <a:ext cx="51809" cy="207922"/>
                          </a:xfrm>
                          <a:prstGeom prst="rect">
                            <a:avLst/>
                          </a:prstGeom>
                          <a:ln>
                            <a:noFill/>
                          </a:ln>
                        </wps:spPr>
                        <wps:txbx>
                          <w:txbxContent>
                            <w:p w:rsidR="00B3013A" w:rsidRDefault="00B3013A" w:rsidP="00006DD5">
                              <w:pPr>
                                <w:spacing w:after="160" w:line="259" w:lineRule="auto"/>
                              </w:pPr>
                              <w:r>
                                <w:t xml:space="preserve"> </w:t>
                              </w:r>
                            </w:p>
                          </w:txbxContent>
                        </wps:txbx>
                        <wps:bodyPr horzOverflow="overflow" vert="horz" lIns="0" tIns="0" rIns="0" bIns="0" rtlCol="0">
                          <a:noAutofit/>
                        </wps:bodyPr>
                      </wps:wsp>
                      <wps:wsp>
                        <wps:cNvPr id="51" name="Shape 656"/>
                        <wps:cNvSpPr/>
                        <wps:spPr>
                          <a:xfrm>
                            <a:off x="0" y="1387983"/>
                            <a:ext cx="1200531" cy="673481"/>
                          </a:xfrm>
                          <a:custGeom>
                            <a:avLst/>
                            <a:gdLst/>
                            <a:ahLst/>
                            <a:cxnLst/>
                            <a:rect l="0" t="0" r="0" b="0"/>
                            <a:pathLst>
                              <a:path w="1200531" h="673481">
                                <a:moveTo>
                                  <a:pt x="112255" y="0"/>
                                </a:moveTo>
                                <a:lnTo>
                                  <a:pt x="1088263" y="0"/>
                                </a:lnTo>
                                <a:cubicBezTo>
                                  <a:pt x="1150239" y="0"/>
                                  <a:pt x="1200531" y="50292"/>
                                  <a:pt x="1200531" y="112268"/>
                                </a:cubicBezTo>
                                <a:lnTo>
                                  <a:pt x="1200531" y="561213"/>
                                </a:lnTo>
                                <a:cubicBezTo>
                                  <a:pt x="1200531" y="623189"/>
                                  <a:pt x="1150239" y="673481"/>
                                  <a:pt x="1088263" y="673481"/>
                                </a:cubicBezTo>
                                <a:lnTo>
                                  <a:pt x="112255" y="673481"/>
                                </a:lnTo>
                                <a:cubicBezTo>
                                  <a:pt x="50254" y="673481"/>
                                  <a:pt x="0" y="623189"/>
                                  <a:pt x="0" y="561213"/>
                                </a:cubicBezTo>
                                <a:lnTo>
                                  <a:pt x="0" y="112268"/>
                                </a:lnTo>
                                <a:cubicBezTo>
                                  <a:pt x="0" y="50292"/>
                                  <a:pt x="50254" y="0"/>
                                  <a:pt x="112255" y="0"/>
                                </a:cubicBezTo>
                                <a:close/>
                              </a:path>
                            </a:pathLst>
                          </a:custGeom>
                          <a:solidFill>
                            <a:srgbClr val="953735"/>
                          </a:solidFill>
                          <a:ln w="0" cap="flat">
                            <a:noFill/>
                            <a:miter lim="127000"/>
                          </a:ln>
                          <a:effectLst/>
                        </wps:spPr>
                        <wps:bodyPr/>
                      </wps:wsp>
                      <wps:wsp>
                        <wps:cNvPr id="52" name="Rectangle 659"/>
                        <wps:cNvSpPr/>
                        <wps:spPr>
                          <a:xfrm>
                            <a:off x="318999" y="1671493"/>
                            <a:ext cx="755636" cy="190519"/>
                          </a:xfrm>
                          <a:prstGeom prst="rect">
                            <a:avLst/>
                          </a:prstGeom>
                          <a:ln>
                            <a:noFill/>
                          </a:ln>
                        </wps:spPr>
                        <wps:txbx>
                          <w:txbxContent>
                            <w:p w:rsidR="00B3013A" w:rsidRDefault="00B3013A" w:rsidP="00006DD5">
                              <w:pPr>
                                <w:spacing w:after="160" w:line="259" w:lineRule="auto"/>
                              </w:pPr>
                              <w:r>
                                <w:rPr>
                                  <w:color w:val="FFFFFF"/>
                                </w:rPr>
                                <w:t>Importér</w:t>
                              </w:r>
                            </w:p>
                          </w:txbxContent>
                        </wps:txbx>
                        <wps:bodyPr horzOverflow="overflow" vert="horz" lIns="0" tIns="0" rIns="0" bIns="0" rtlCol="0">
                          <a:noAutofit/>
                        </wps:bodyPr>
                      </wps:wsp>
                      <wps:wsp>
                        <wps:cNvPr id="53" name="Rectangle 660"/>
                        <wps:cNvSpPr/>
                        <wps:spPr>
                          <a:xfrm>
                            <a:off x="885952" y="1644523"/>
                            <a:ext cx="56314" cy="226001"/>
                          </a:xfrm>
                          <a:prstGeom prst="rect">
                            <a:avLst/>
                          </a:prstGeom>
                          <a:ln>
                            <a:noFill/>
                          </a:ln>
                        </wps:spPr>
                        <wps:txbx>
                          <w:txbxContent>
                            <w:p w:rsidR="00B3013A" w:rsidRDefault="00B3013A" w:rsidP="00006DD5">
                              <w:pPr>
                                <w:spacing w:after="160" w:line="259" w:lineRule="auto"/>
                              </w:pPr>
                              <w:r>
                                <w:rPr>
                                  <w:color w:val="FFFFFF"/>
                                </w:rPr>
                                <w:t xml:space="preserve"> </w:t>
                              </w:r>
                            </w:p>
                          </w:txbxContent>
                        </wps:txbx>
                        <wps:bodyPr horzOverflow="overflow" vert="horz" lIns="0" tIns="0" rIns="0" bIns="0" rtlCol="0">
                          <a:noAutofit/>
                        </wps:bodyPr>
                      </wps:wsp>
                      <wps:wsp>
                        <wps:cNvPr id="54" name="Shape 661"/>
                        <wps:cNvSpPr/>
                        <wps:spPr>
                          <a:xfrm>
                            <a:off x="2218182" y="1364107"/>
                            <a:ext cx="1200531" cy="673481"/>
                          </a:xfrm>
                          <a:custGeom>
                            <a:avLst/>
                            <a:gdLst/>
                            <a:ahLst/>
                            <a:cxnLst/>
                            <a:rect l="0" t="0" r="0" b="0"/>
                            <a:pathLst>
                              <a:path w="1200531" h="673481">
                                <a:moveTo>
                                  <a:pt x="112268" y="0"/>
                                </a:moveTo>
                                <a:lnTo>
                                  <a:pt x="1088263" y="0"/>
                                </a:lnTo>
                                <a:cubicBezTo>
                                  <a:pt x="1150239" y="0"/>
                                  <a:pt x="1200531" y="50292"/>
                                  <a:pt x="1200531" y="112268"/>
                                </a:cubicBezTo>
                                <a:lnTo>
                                  <a:pt x="1200531" y="561213"/>
                                </a:lnTo>
                                <a:cubicBezTo>
                                  <a:pt x="1200531" y="623316"/>
                                  <a:pt x="1150239" y="673481"/>
                                  <a:pt x="1088263" y="673481"/>
                                </a:cubicBezTo>
                                <a:lnTo>
                                  <a:pt x="112268" y="673481"/>
                                </a:lnTo>
                                <a:cubicBezTo>
                                  <a:pt x="50292" y="673481"/>
                                  <a:pt x="0" y="623316"/>
                                  <a:pt x="0" y="561213"/>
                                </a:cubicBezTo>
                                <a:lnTo>
                                  <a:pt x="0" y="112268"/>
                                </a:lnTo>
                                <a:cubicBezTo>
                                  <a:pt x="0" y="50292"/>
                                  <a:pt x="50292" y="0"/>
                                  <a:pt x="112268" y="0"/>
                                </a:cubicBezTo>
                                <a:close/>
                              </a:path>
                            </a:pathLst>
                          </a:custGeom>
                          <a:solidFill>
                            <a:srgbClr val="77933C"/>
                          </a:solidFill>
                          <a:ln w="0" cap="flat">
                            <a:noFill/>
                            <a:miter lim="127000"/>
                          </a:ln>
                          <a:effectLst/>
                        </wps:spPr>
                        <wps:bodyPr/>
                      </wps:wsp>
                      <wps:wsp>
                        <wps:cNvPr id="55" name="Rectangle 664"/>
                        <wps:cNvSpPr/>
                        <wps:spPr>
                          <a:xfrm>
                            <a:off x="2386203" y="1620139"/>
                            <a:ext cx="1150885" cy="226001"/>
                          </a:xfrm>
                          <a:prstGeom prst="rect">
                            <a:avLst/>
                          </a:prstGeom>
                          <a:ln>
                            <a:noFill/>
                          </a:ln>
                        </wps:spPr>
                        <wps:txbx>
                          <w:txbxContent>
                            <w:p w:rsidR="00B3013A" w:rsidRDefault="00B3013A" w:rsidP="00006DD5">
                              <w:pPr>
                                <w:spacing w:after="160" w:line="259" w:lineRule="auto"/>
                              </w:pPr>
                              <w:r>
                                <w:rPr>
                                  <w:color w:val="FFFFFF"/>
                                </w:rPr>
                                <w:t>Poskytovatel</w:t>
                              </w:r>
                            </w:p>
                          </w:txbxContent>
                        </wps:txbx>
                        <wps:bodyPr horzOverflow="overflow" vert="horz" lIns="0" tIns="0" rIns="0" bIns="0" rtlCol="0">
                          <a:noAutofit/>
                        </wps:bodyPr>
                      </wps:wsp>
                      <wps:wsp>
                        <wps:cNvPr id="56" name="Rectangle 665"/>
                        <wps:cNvSpPr/>
                        <wps:spPr>
                          <a:xfrm>
                            <a:off x="3249041" y="1620139"/>
                            <a:ext cx="56314" cy="226001"/>
                          </a:xfrm>
                          <a:prstGeom prst="rect">
                            <a:avLst/>
                          </a:prstGeom>
                          <a:ln>
                            <a:noFill/>
                          </a:ln>
                        </wps:spPr>
                        <wps:txbx>
                          <w:txbxContent>
                            <w:p w:rsidR="00B3013A" w:rsidRDefault="00B3013A" w:rsidP="00006DD5">
                              <w:pPr>
                                <w:spacing w:after="160" w:line="259" w:lineRule="auto"/>
                              </w:pPr>
                              <w:r>
                                <w:rPr>
                                  <w:color w:val="FFFFFF"/>
                                </w:rPr>
                                <w:t xml:space="preserve"> </w:t>
                              </w:r>
                            </w:p>
                          </w:txbxContent>
                        </wps:txbx>
                        <wps:bodyPr horzOverflow="overflow" vert="horz" lIns="0" tIns="0" rIns="0" bIns="0" rtlCol="0">
                          <a:noAutofit/>
                        </wps:bodyPr>
                      </wps:wsp>
                      <wps:wsp>
                        <wps:cNvPr id="57" name="Shape 666"/>
                        <wps:cNvSpPr/>
                        <wps:spPr>
                          <a:xfrm>
                            <a:off x="4436364" y="1364107"/>
                            <a:ext cx="1200531" cy="673481"/>
                          </a:xfrm>
                          <a:custGeom>
                            <a:avLst/>
                            <a:gdLst/>
                            <a:ahLst/>
                            <a:cxnLst/>
                            <a:rect l="0" t="0" r="0" b="0"/>
                            <a:pathLst>
                              <a:path w="1200531" h="673481">
                                <a:moveTo>
                                  <a:pt x="112268" y="0"/>
                                </a:moveTo>
                                <a:lnTo>
                                  <a:pt x="1088263" y="0"/>
                                </a:lnTo>
                                <a:cubicBezTo>
                                  <a:pt x="1150239" y="0"/>
                                  <a:pt x="1200531" y="50292"/>
                                  <a:pt x="1200531" y="112268"/>
                                </a:cubicBezTo>
                                <a:lnTo>
                                  <a:pt x="1200531" y="561213"/>
                                </a:lnTo>
                                <a:cubicBezTo>
                                  <a:pt x="1200531" y="623316"/>
                                  <a:pt x="1150239" y="673481"/>
                                  <a:pt x="1088263" y="673481"/>
                                </a:cubicBezTo>
                                <a:lnTo>
                                  <a:pt x="112268" y="673481"/>
                                </a:lnTo>
                                <a:cubicBezTo>
                                  <a:pt x="50292" y="673481"/>
                                  <a:pt x="0" y="623316"/>
                                  <a:pt x="0" y="561213"/>
                                </a:cubicBezTo>
                                <a:lnTo>
                                  <a:pt x="0" y="112268"/>
                                </a:lnTo>
                                <a:cubicBezTo>
                                  <a:pt x="0" y="50292"/>
                                  <a:pt x="50292" y="0"/>
                                  <a:pt x="112268" y="0"/>
                                </a:cubicBezTo>
                                <a:close/>
                              </a:path>
                            </a:pathLst>
                          </a:custGeom>
                          <a:solidFill>
                            <a:srgbClr val="E46C0A"/>
                          </a:solidFill>
                          <a:ln w="0" cap="flat">
                            <a:noFill/>
                            <a:miter lim="127000"/>
                          </a:ln>
                          <a:effectLst/>
                        </wps:spPr>
                        <wps:bodyPr/>
                      </wps:wsp>
                      <wps:wsp>
                        <wps:cNvPr id="58" name="Rectangle 669"/>
                        <wps:cNvSpPr/>
                        <wps:spPr>
                          <a:xfrm>
                            <a:off x="4685284" y="1647110"/>
                            <a:ext cx="935626" cy="190519"/>
                          </a:xfrm>
                          <a:prstGeom prst="rect">
                            <a:avLst/>
                          </a:prstGeom>
                          <a:ln>
                            <a:noFill/>
                          </a:ln>
                        </wps:spPr>
                        <wps:txbx>
                          <w:txbxContent>
                            <w:p w:rsidR="00B3013A" w:rsidRDefault="00B3013A" w:rsidP="00006DD5">
                              <w:pPr>
                                <w:spacing w:after="160" w:line="259" w:lineRule="auto"/>
                              </w:pPr>
                              <w:r>
                                <w:rPr>
                                  <w:color w:val="FFFFFF"/>
                                </w:rPr>
                                <w:t>Pojištěnec</w:t>
                              </w:r>
                            </w:p>
                          </w:txbxContent>
                        </wps:txbx>
                        <wps:bodyPr horzOverflow="overflow" vert="horz" lIns="0" tIns="0" rIns="0" bIns="0" rtlCol="0">
                          <a:noAutofit/>
                        </wps:bodyPr>
                      </wps:wsp>
                      <wps:wsp>
                        <wps:cNvPr id="59" name="Rectangle 670"/>
                        <wps:cNvSpPr/>
                        <wps:spPr>
                          <a:xfrm>
                            <a:off x="5389626" y="1620139"/>
                            <a:ext cx="56314" cy="226001"/>
                          </a:xfrm>
                          <a:prstGeom prst="rect">
                            <a:avLst/>
                          </a:prstGeom>
                          <a:ln>
                            <a:noFill/>
                          </a:ln>
                        </wps:spPr>
                        <wps:txbx>
                          <w:txbxContent>
                            <w:p w:rsidR="00B3013A" w:rsidRDefault="00B3013A" w:rsidP="00006DD5">
                              <w:pPr>
                                <w:spacing w:after="160" w:line="259" w:lineRule="auto"/>
                              </w:pPr>
                              <w:r>
                                <w:rPr>
                                  <w:color w:val="FFFFFF"/>
                                </w:rPr>
                                <w:t xml:space="preserve"> </w:t>
                              </w:r>
                            </w:p>
                          </w:txbxContent>
                        </wps:txbx>
                        <wps:bodyPr horzOverflow="overflow" vert="horz" lIns="0" tIns="0" rIns="0" bIns="0" rtlCol="0">
                          <a:noAutofit/>
                        </wps:bodyPr>
                      </wps:wsp>
                      <wps:wsp>
                        <wps:cNvPr id="60" name="Shape 671"/>
                        <wps:cNvSpPr/>
                        <wps:spPr>
                          <a:xfrm>
                            <a:off x="1240282" y="1411859"/>
                            <a:ext cx="946150" cy="524764"/>
                          </a:xfrm>
                          <a:custGeom>
                            <a:avLst/>
                            <a:gdLst/>
                            <a:ahLst/>
                            <a:cxnLst/>
                            <a:rect l="0" t="0" r="0" b="0"/>
                            <a:pathLst>
                              <a:path w="946150" h="524764">
                                <a:moveTo>
                                  <a:pt x="740664" y="0"/>
                                </a:moveTo>
                                <a:lnTo>
                                  <a:pt x="946150" y="262382"/>
                                </a:lnTo>
                                <a:lnTo>
                                  <a:pt x="740664" y="524764"/>
                                </a:lnTo>
                                <a:lnTo>
                                  <a:pt x="740664" y="441198"/>
                                </a:lnTo>
                                <a:lnTo>
                                  <a:pt x="0" y="441198"/>
                                </a:lnTo>
                                <a:lnTo>
                                  <a:pt x="0" y="83566"/>
                                </a:lnTo>
                                <a:lnTo>
                                  <a:pt x="740664" y="83566"/>
                                </a:lnTo>
                                <a:lnTo>
                                  <a:pt x="740664" y="0"/>
                                </a:lnTo>
                                <a:close/>
                              </a:path>
                            </a:pathLst>
                          </a:custGeom>
                          <a:solidFill>
                            <a:srgbClr val="4F81BD"/>
                          </a:solidFill>
                          <a:ln w="0" cap="flat">
                            <a:noFill/>
                            <a:miter lim="127000"/>
                          </a:ln>
                          <a:effectLst/>
                        </wps:spPr>
                        <wps:bodyPr/>
                      </wps:wsp>
                      <pic:pic xmlns:pic="http://schemas.openxmlformats.org/drawingml/2006/picture">
                        <pic:nvPicPr>
                          <pic:cNvPr id="61" name="Picture 673"/>
                          <pic:cNvPicPr/>
                        </pic:nvPicPr>
                        <pic:blipFill>
                          <a:blip r:embed="rId9"/>
                          <a:stretch>
                            <a:fillRect/>
                          </a:stretch>
                        </pic:blipFill>
                        <pic:spPr>
                          <a:xfrm>
                            <a:off x="1254125" y="1552575"/>
                            <a:ext cx="780288" cy="240792"/>
                          </a:xfrm>
                          <a:prstGeom prst="rect">
                            <a:avLst/>
                          </a:prstGeom>
                        </pic:spPr>
                      </pic:pic>
                      <wps:wsp>
                        <wps:cNvPr id="62" name="Rectangle 674"/>
                        <wps:cNvSpPr/>
                        <wps:spPr>
                          <a:xfrm>
                            <a:off x="1352550" y="1636065"/>
                            <a:ext cx="770153" cy="125742"/>
                          </a:xfrm>
                          <a:prstGeom prst="rect">
                            <a:avLst/>
                          </a:prstGeom>
                          <a:ln>
                            <a:noFill/>
                          </a:ln>
                        </wps:spPr>
                        <wps:txbx>
                          <w:txbxContent>
                            <w:p w:rsidR="00B3013A" w:rsidRDefault="00B3013A" w:rsidP="00006DD5">
                              <w:pPr>
                                <w:spacing w:after="160" w:line="259" w:lineRule="auto"/>
                              </w:pPr>
                              <w:proofErr w:type="gramStart"/>
                              <w:r>
                                <w:rPr>
                                  <w:color w:val="FFFFFF"/>
                                  <w:sz w:val="16"/>
                                </w:rPr>
                                <w:t>dodání</w:t>
                              </w:r>
                              <w:proofErr w:type="gramEnd"/>
                              <w:r>
                                <w:rPr>
                                  <w:color w:val="FFFFFF"/>
                                  <w:sz w:val="16"/>
                                </w:rPr>
                                <w:t xml:space="preserve"> zboží</w:t>
                              </w:r>
                            </w:p>
                          </w:txbxContent>
                        </wps:txbx>
                        <wps:bodyPr horzOverflow="overflow" vert="horz" lIns="0" tIns="0" rIns="0" bIns="0" rtlCol="0">
                          <a:noAutofit/>
                        </wps:bodyPr>
                      </wps:wsp>
                      <wps:wsp>
                        <wps:cNvPr id="63" name="Rectangle 675"/>
                        <wps:cNvSpPr/>
                        <wps:spPr>
                          <a:xfrm>
                            <a:off x="1935099" y="1618264"/>
                            <a:ext cx="37167" cy="149161"/>
                          </a:xfrm>
                          <a:prstGeom prst="rect">
                            <a:avLst/>
                          </a:prstGeom>
                          <a:ln>
                            <a:noFill/>
                          </a:ln>
                        </wps:spPr>
                        <wps:txbx>
                          <w:txbxContent>
                            <w:p w:rsidR="00B3013A" w:rsidRDefault="00B3013A" w:rsidP="00006DD5">
                              <w:pPr>
                                <w:spacing w:after="160" w:line="259" w:lineRule="auto"/>
                              </w:pPr>
                              <w:r>
                                <w:rPr>
                                  <w:color w:val="FFFFFF"/>
                                  <w:sz w:val="16"/>
                                </w:rPr>
                                <w:t xml:space="preserve"> </w:t>
                              </w:r>
                            </w:p>
                          </w:txbxContent>
                        </wps:txbx>
                        <wps:bodyPr horzOverflow="overflow" vert="horz" lIns="0" tIns="0" rIns="0" bIns="0" rtlCol="0">
                          <a:noAutofit/>
                        </wps:bodyPr>
                      </wps:wsp>
                      <wps:wsp>
                        <wps:cNvPr id="448" name="Shape 676"/>
                        <wps:cNvSpPr/>
                        <wps:spPr>
                          <a:xfrm>
                            <a:off x="3460115" y="1438275"/>
                            <a:ext cx="945515" cy="524510"/>
                          </a:xfrm>
                          <a:custGeom>
                            <a:avLst/>
                            <a:gdLst/>
                            <a:ahLst/>
                            <a:cxnLst/>
                            <a:rect l="0" t="0" r="0" b="0"/>
                            <a:pathLst>
                              <a:path w="945515" h="524510">
                                <a:moveTo>
                                  <a:pt x="740156" y="0"/>
                                </a:moveTo>
                                <a:lnTo>
                                  <a:pt x="945515" y="262255"/>
                                </a:lnTo>
                                <a:lnTo>
                                  <a:pt x="740156" y="524510"/>
                                </a:lnTo>
                                <a:lnTo>
                                  <a:pt x="740156" y="440944"/>
                                </a:lnTo>
                                <a:lnTo>
                                  <a:pt x="0" y="440944"/>
                                </a:lnTo>
                                <a:lnTo>
                                  <a:pt x="0" y="83566"/>
                                </a:lnTo>
                                <a:lnTo>
                                  <a:pt x="740156" y="83566"/>
                                </a:lnTo>
                                <a:lnTo>
                                  <a:pt x="740156" y="0"/>
                                </a:lnTo>
                                <a:close/>
                              </a:path>
                            </a:pathLst>
                          </a:custGeom>
                          <a:solidFill>
                            <a:srgbClr val="4F81BD"/>
                          </a:solidFill>
                          <a:ln w="0" cap="flat">
                            <a:noFill/>
                            <a:miter lim="127000"/>
                          </a:ln>
                          <a:effectLst/>
                        </wps:spPr>
                        <wps:bodyPr/>
                      </wps:wsp>
                      <wps:wsp>
                        <wps:cNvPr id="449" name="Rectangle 677"/>
                        <wps:cNvSpPr/>
                        <wps:spPr>
                          <a:xfrm>
                            <a:off x="3572383" y="1666545"/>
                            <a:ext cx="770152" cy="125742"/>
                          </a:xfrm>
                          <a:prstGeom prst="rect">
                            <a:avLst/>
                          </a:prstGeom>
                          <a:ln>
                            <a:noFill/>
                          </a:ln>
                        </wps:spPr>
                        <wps:txbx>
                          <w:txbxContent>
                            <w:p w:rsidR="00B3013A" w:rsidRDefault="00B3013A" w:rsidP="00006DD5">
                              <w:pPr>
                                <w:spacing w:after="160" w:line="259" w:lineRule="auto"/>
                              </w:pPr>
                              <w:proofErr w:type="gramStart"/>
                              <w:r>
                                <w:rPr>
                                  <w:color w:val="FFFFFF"/>
                                  <w:sz w:val="16"/>
                                </w:rPr>
                                <w:t>dodání</w:t>
                              </w:r>
                              <w:proofErr w:type="gramEnd"/>
                              <w:r>
                                <w:rPr>
                                  <w:color w:val="FFFFFF"/>
                                  <w:sz w:val="16"/>
                                </w:rPr>
                                <w:t xml:space="preserve"> zboží</w:t>
                              </w:r>
                            </w:p>
                          </w:txbxContent>
                        </wps:txbx>
                        <wps:bodyPr horzOverflow="overflow" vert="horz" lIns="0" tIns="0" rIns="0" bIns="0" rtlCol="0">
                          <a:noAutofit/>
                        </wps:bodyPr>
                      </wps:wsp>
                      <wps:wsp>
                        <wps:cNvPr id="450" name="Rectangle 678"/>
                        <wps:cNvSpPr/>
                        <wps:spPr>
                          <a:xfrm>
                            <a:off x="4154932" y="1648744"/>
                            <a:ext cx="37168" cy="149161"/>
                          </a:xfrm>
                          <a:prstGeom prst="rect">
                            <a:avLst/>
                          </a:prstGeom>
                          <a:ln>
                            <a:noFill/>
                          </a:ln>
                        </wps:spPr>
                        <wps:txbx>
                          <w:txbxContent>
                            <w:p w:rsidR="00B3013A" w:rsidRDefault="00B3013A" w:rsidP="00006DD5">
                              <w:pPr>
                                <w:spacing w:after="160" w:line="259" w:lineRule="auto"/>
                              </w:pPr>
                              <w:r>
                                <w:rPr>
                                  <w:color w:val="FFFFFF"/>
                                  <w:sz w:val="16"/>
                                </w:rPr>
                                <w:t xml:space="preserve"> </w:t>
                              </w:r>
                            </w:p>
                          </w:txbxContent>
                        </wps:txbx>
                        <wps:bodyPr horzOverflow="overflow" vert="horz" lIns="0" tIns="0" rIns="0" bIns="0" rtlCol="0">
                          <a:noAutofit/>
                        </wps:bodyPr>
                      </wps:wsp>
                      <wps:wsp>
                        <wps:cNvPr id="451" name="Shape 679"/>
                        <wps:cNvSpPr/>
                        <wps:spPr>
                          <a:xfrm>
                            <a:off x="2540" y="0"/>
                            <a:ext cx="1200150" cy="673100"/>
                          </a:xfrm>
                          <a:custGeom>
                            <a:avLst/>
                            <a:gdLst/>
                            <a:ahLst/>
                            <a:cxnLst/>
                            <a:rect l="0" t="0" r="0" b="0"/>
                            <a:pathLst>
                              <a:path w="1200150" h="673100">
                                <a:moveTo>
                                  <a:pt x="112192" y="0"/>
                                </a:moveTo>
                                <a:lnTo>
                                  <a:pt x="1088009" y="0"/>
                                </a:lnTo>
                                <a:cubicBezTo>
                                  <a:pt x="1149985" y="0"/>
                                  <a:pt x="1200150" y="50165"/>
                                  <a:pt x="1200150" y="112140"/>
                                </a:cubicBezTo>
                                <a:lnTo>
                                  <a:pt x="1200150" y="560959"/>
                                </a:lnTo>
                                <a:cubicBezTo>
                                  <a:pt x="1200150" y="622935"/>
                                  <a:pt x="1149985" y="673100"/>
                                  <a:pt x="1088009" y="673100"/>
                                </a:cubicBezTo>
                                <a:lnTo>
                                  <a:pt x="112192" y="673100"/>
                                </a:lnTo>
                                <a:cubicBezTo>
                                  <a:pt x="50229" y="673100"/>
                                  <a:pt x="0" y="622935"/>
                                  <a:pt x="0" y="560959"/>
                                </a:cubicBezTo>
                                <a:lnTo>
                                  <a:pt x="0" y="112140"/>
                                </a:lnTo>
                                <a:cubicBezTo>
                                  <a:pt x="0" y="50165"/>
                                  <a:pt x="50229" y="0"/>
                                  <a:pt x="112192" y="0"/>
                                </a:cubicBezTo>
                                <a:close/>
                              </a:path>
                            </a:pathLst>
                          </a:custGeom>
                          <a:solidFill>
                            <a:srgbClr val="953735"/>
                          </a:solidFill>
                          <a:ln w="0" cap="flat">
                            <a:noFill/>
                            <a:miter lim="127000"/>
                          </a:ln>
                          <a:effectLst/>
                        </wps:spPr>
                        <wps:bodyPr/>
                      </wps:wsp>
                      <wps:wsp>
                        <wps:cNvPr id="452" name="Rectangle 680"/>
                        <wps:cNvSpPr/>
                        <wps:spPr>
                          <a:xfrm>
                            <a:off x="386055" y="192832"/>
                            <a:ext cx="631994" cy="190519"/>
                          </a:xfrm>
                          <a:prstGeom prst="rect">
                            <a:avLst/>
                          </a:prstGeom>
                          <a:ln>
                            <a:noFill/>
                          </a:ln>
                        </wps:spPr>
                        <wps:txbx>
                          <w:txbxContent>
                            <w:p w:rsidR="00B3013A" w:rsidRDefault="00B3013A" w:rsidP="00006DD5">
                              <w:pPr>
                                <w:spacing w:after="160" w:line="259" w:lineRule="auto"/>
                              </w:pPr>
                              <w:r>
                                <w:rPr>
                                  <w:color w:val="FFFFFF"/>
                                </w:rPr>
                                <w:t xml:space="preserve">Držitel </w:t>
                              </w:r>
                            </w:p>
                          </w:txbxContent>
                        </wps:txbx>
                        <wps:bodyPr horzOverflow="overflow" vert="horz" lIns="0" tIns="0" rIns="0" bIns="0" rtlCol="0">
                          <a:noAutofit/>
                        </wps:bodyPr>
                      </wps:wsp>
                      <wps:wsp>
                        <wps:cNvPr id="453" name="Rectangle 681"/>
                        <wps:cNvSpPr/>
                        <wps:spPr>
                          <a:xfrm>
                            <a:off x="266878" y="345694"/>
                            <a:ext cx="890021" cy="226002"/>
                          </a:xfrm>
                          <a:prstGeom prst="rect">
                            <a:avLst/>
                          </a:prstGeom>
                          <a:ln>
                            <a:noFill/>
                          </a:ln>
                        </wps:spPr>
                        <wps:txbx>
                          <w:txbxContent>
                            <w:p w:rsidR="00B3013A" w:rsidRDefault="00B3013A" w:rsidP="00006DD5">
                              <w:pPr>
                                <w:spacing w:after="160" w:line="259" w:lineRule="auto"/>
                              </w:pPr>
                              <w:proofErr w:type="gramStart"/>
                              <w:r>
                                <w:rPr>
                                  <w:color w:val="FFFFFF"/>
                                </w:rPr>
                                <w:t>registrace</w:t>
                              </w:r>
                              <w:proofErr w:type="gramEnd"/>
                            </w:p>
                          </w:txbxContent>
                        </wps:txbx>
                        <wps:bodyPr horzOverflow="overflow" vert="horz" lIns="0" tIns="0" rIns="0" bIns="0" rtlCol="0">
                          <a:noAutofit/>
                        </wps:bodyPr>
                      </wps:wsp>
                      <wps:wsp>
                        <wps:cNvPr id="454" name="Rectangle 682"/>
                        <wps:cNvSpPr/>
                        <wps:spPr>
                          <a:xfrm>
                            <a:off x="934720" y="345694"/>
                            <a:ext cx="56314" cy="226002"/>
                          </a:xfrm>
                          <a:prstGeom prst="rect">
                            <a:avLst/>
                          </a:prstGeom>
                          <a:ln>
                            <a:noFill/>
                          </a:ln>
                        </wps:spPr>
                        <wps:txbx>
                          <w:txbxContent>
                            <w:p w:rsidR="00B3013A" w:rsidRDefault="00B3013A" w:rsidP="00006DD5">
                              <w:pPr>
                                <w:spacing w:after="160" w:line="259" w:lineRule="auto"/>
                              </w:pPr>
                              <w:r>
                                <w:rPr>
                                  <w:color w:val="FFFFFF"/>
                                </w:rPr>
                                <w:t xml:space="preserve"> </w:t>
                              </w:r>
                            </w:p>
                          </w:txbxContent>
                        </wps:txbx>
                        <wps:bodyPr horzOverflow="overflow" vert="horz" lIns="0" tIns="0" rIns="0" bIns="0" rtlCol="0">
                          <a:noAutofit/>
                        </wps:bodyPr>
                      </wps:wsp>
                      <wps:wsp>
                        <wps:cNvPr id="455" name="Rectangle 683"/>
                        <wps:cNvSpPr/>
                        <wps:spPr>
                          <a:xfrm>
                            <a:off x="1300734" y="838312"/>
                            <a:ext cx="530340" cy="207922"/>
                          </a:xfrm>
                          <a:prstGeom prst="rect">
                            <a:avLst/>
                          </a:prstGeom>
                          <a:ln>
                            <a:noFill/>
                          </a:ln>
                        </wps:spPr>
                        <wps:txbx>
                          <w:txbxContent>
                            <w:p w:rsidR="00B3013A" w:rsidRDefault="00B3013A" w:rsidP="00006DD5">
                              <w:pPr>
                                <w:spacing w:after="160" w:line="259" w:lineRule="auto"/>
                              </w:pPr>
                              <w:r>
                                <w:t>Bonus</w:t>
                              </w:r>
                            </w:p>
                          </w:txbxContent>
                        </wps:txbx>
                        <wps:bodyPr horzOverflow="overflow" vert="horz" lIns="0" tIns="0" rIns="0" bIns="0" rtlCol="0">
                          <a:noAutofit/>
                        </wps:bodyPr>
                      </wps:wsp>
                      <wps:wsp>
                        <wps:cNvPr id="456" name="Rectangle 684"/>
                        <wps:cNvSpPr/>
                        <wps:spPr>
                          <a:xfrm>
                            <a:off x="1696974" y="838312"/>
                            <a:ext cx="51809" cy="207922"/>
                          </a:xfrm>
                          <a:prstGeom prst="rect">
                            <a:avLst/>
                          </a:prstGeom>
                          <a:ln>
                            <a:noFill/>
                          </a:ln>
                        </wps:spPr>
                        <wps:txbx>
                          <w:txbxContent>
                            <w:p w:rsidR="00B3013A" w:rsidRDefault="00B3013A" w:rsidP="00006DD5">
                              <w:pPr>
                                <w:spacing w:after="160" w:line="259" w:lineRule="auto"/>
                              </w:pPr>
                              <w:r>
                                <w:t xml:space="preserve"> </w:t>
                              </w:r>
                            </w:p>
                          </w:txbxContent>
                        </wps:txbx>
                        <wps:bodyPr horzOverflow="overflow" vert="horz" lIns="0" tIns="0" rIns="0" bIns="0" rtlCol="0">
                          <a:noAutofit/>
                        </wps:bodyPr>
                      </wps:wsp>
                      <wps:wsp>
                        <wps:cNvPr id="457" name="Shape 686"/>
                        <wps:cNvSpPr/>
                        <wps:spPr>
                          <a:xfrm>
                            <a:off x="578485" y="1211961"/>
                            <a:ext cx="58674" cy="149860"/>
                          </a:xfrm>
                          <a:custGeom>
                            <a:avLst/>
                            <a:gdLst/>
                            <a:ahLst/>
                            <a:cxnLst/>
                            <a:rect l="0" t="0" r="0" b="0"/>
                            <a:pathLst>
                              <a:path w="58674" h="149860">
                                <a:moveTo>
                                  <a:pt x="41910" y="0"/>
                                </a:moveTo>
                                <a:lnTo>
                                  <a:pt x="58674" y="8890"/>
                                </a:lnTo>
                                <a:lnTo>
                                  <a:pt x="46609" y="31496"/>
                                </a:lnTo>
                                <a:lnTo>
                                  <a:pt x="31369" y="70993"/>
                                </a:lnTo>
                                <a:lnTo>
                                  <a:pt x="26035" y="90424"/>
                                </a:lnTo>
                                <a:lnTo>
                                  <a:pt x="22225" y="110109"/>
                                </a:lnTo>
                                <a:lnTo>
                                  <a:pt x="19812" y="129667"/>
                                </a:lnTo>
                                <a:lnTo>
                                  <a:pt x="19050" y="149860"/>
                                </a:lnTo>
                                <a:lnTo>
                                  <a:pt x="0" y="149225"/>
                                </a:lnTo>
                                <a:lnTo>
                                  <a:pt x="762" y="128905"/>
                                </a:lnTo>
                                <a:lnTo>
                                  <a:pt x="3302" y="107823"/>
                                </a:lnTo>
                                <a:lnTo>
                                  <a:pt x="7366" y="86868"/>
                                </a:lnTo>
                                <a:lnTo>
                                  <a:pt x="13081" y="65913"/>
                                </a:lnTo>
                                <a:lnTo>
                                  <a:pt x="28702" y="24638"/>
                                </a:lnTo>
                                <a:lnTo>
                                  <a:pt x="41910" y="0"/>
                                </a:lnTo>
                                <a:close/>
                              </a:path>
                            </a:pathLst>
                          </a:custGeom>
                          <a:solidFill>
                            <a:srgbClr val="BE4B48"/>
                          </a:solidFill>
                          <a:ln w="0" cap="flat">
                            <a:noFill/>
                            <a:miter lim="127000"/>
                          </a:ln>
                          <a:effectLst/>
                        </wps:spPr>
                        <wps:bodyPr/>
                      </wps:wsp>
                      <wps:wsp>
                        <wps:cNvPr id="458" name="Shape 687"/>
                        <wps:cNvSpPr/>
                        <wps:spPr>
                          <a:xfrm>
                            <a:off x="651256" y="1049655"/>
                            <a:ext cx="117729" cy="123825"/>
                          </a:xfrm>
                          <a:custGeom>
                            <a:avLst/>
                            <a:gdLst/>
                            <a:ahLst/>
                            <a:cxnLst/>
                            <a:rect l="0" t="0" r="0" b="0"/>
                            <a:pathLst>
                              <a:path w="117729" h="123825">
                                <a:moveTo>
                                  <a:pt x="105029" y="0"/>
                                </a:moveTo>
                                <a:lnTo>
                                  <a:pt x="117729" y="14098"/>
                                </a:lnTo>
                                <a:lnTo>
                                  <a:pt x="90170" y="38862"/>
                                </a:lnTo>
                                <a:lnTo>
                                  <a:pt x="52959" y="77089"/>
                                </a:lnTo>
                                <a:lnTo>
                                  <a:pt x="21209" y="115824"/>
                                </a:lnTo>
                                <a:lnTo>
                                  <a:pt x="15748" y="123825"/>
                                </a:lnTo>
                                <a:lnTo>
                                  <a:pt x="0" y="113030"/>
                                </a:lnTo>
                                <a:lnTo>
                                  <a:pt x="5334" y="105156"/>
                                </a:lnTo>
                                <a:lnTo>
                                  <a:pt x="38354" y="65024"/>
                                </a:lnTo>
                                <a:lnTo>
                                  <a:pt x="76581" y="25527"/>
                                </a:lnTo>
                                <a:lnTo>
                                  <a:pt x="105029" y="0"/>
                                </a:lnTo>
                                <a:close/>
                              </a:path>
                            </a:pathLst>
                          </a:custGeom>
                          <a:solidFill>
                            <a:srgbClr val="BE4B48"/>
                          </a:solidFill>
                          <a:ln w="0" cap="flat">
                            <a:noFill/>
                            <a:miter lim="127000"/>
                          </a:ln>
                          <a:effectLst/>
                        </wps:spPr>
                        <wps:bodyPr/>
                      </wps:wsp>
                      <wps:wsp>
                        <wps:cNvPr id="459" name="Shape 688"/>
                        <wps:cNvSpPr/>
                        <wps:spPr>
                          <a:xfrm>
                            <a:off x="800735" y="925576"/>
                            <a:ext cx="136271" cy="102108"/>
                          </a:xfrm>
                          <a:custGeom>
                            <a:avLst/>
                            <a:gdLst/>
                            <a:ahLst/>
                            <a:cxnLst/>
                            <a:rect l="0" t="0" r="0" b="0"/>
                            <a:pathLst>
                              <a:path w="136271" h="102108">
                                <a:moveTo>
                                  <a:pt x="125984" y="0"/>
                                </a:moveTo>
                                <a:lnTo>
                                  <a:pt x="136271" y="16128"/>
                                </a:lnTo>
                                <a:lnTo>
                                  <a:pt x="81915" y="50926"/>
                                </a:lnTo>
                                <a:lnTo>
                                  <a:pt x="30099" y="87630"/>
                                </a:lnTo>
                                <a:lnTo>
                                  <a:pt x="11811" y="102108"/>
                                </a:lnTo>
                                <a:lnTo>
                                  <a:pt x="0" y="87249"/>
                                </a:lnTo>
                                <a:lnTo>
                                  <a:pt x="18288" y="72644"/>
                                </a:lnTo>
                                <a:lnTo>
                                  <a:pt x="70866" y="35306"/>
                                </a:lnTo>
                                <a:lnTo>
                                  <a:pt x="125984" y="0"/>
                                </a:lnTo>
                                <a:close/>
                              </a:path>
                            </a:pathLst>
                          </a:custGeom>
                          <a:solidFill>
                            <a:srgbClr val="BE4B48"/>
                          </a:solidFill>
                          <a:ln w="0" cap="flat">
                            <a:noFill/>
                            <a:miter lim="127000"/>
                          </a:ln>
                          <a:effectLst/>
                        </wps:spPr>
                        <wps:bodyPr/>
                      </wps:wsp>
                      <wps:wsp>
                        <wps:cNvPr id="460" name="Shape 689"/>
                        <wps:cNvSpPr/>
                        <wps:spPr>
                          <a:xfrm>
                            <a:off x="976503" y="826389"/>
                            <a:ext cx="144272" cy="86613"/>
                          </a:xfrm>
                          <a:custGeom>
                            <a:avLst/>
                            <a:gdLst/>
                            <a:ahLst/>
                            <a:cxnLst/>
                            <a:rect l="0" t="0" r="0" b="0"/>
                            <a:pathLst>
                              <a:path w="144272" h="86613">
                                <a:moveTo>
                                  <a:pt x="136017" y="0"/>
                                </a:moveTo>
                                <a:lnTo>
                                  <a:pt x="144272" y="17145"/>
                                </a:lnTo>
                                <a:lnTo>
                                  <a:pt x="87503" y="44703"/>
                                </a:lnTo>
                                <a:lnTo>
                                  <a:pt x="22860" y="78867"/>
                                </a:lnTo>
                                <a:lnTo>
                                  <a:pt x="9525" y="86613"/>
                                </a:lnTo>
                                <a:lnTo>
                                  <a:pt x="0" y="70231"/>
                                </a:lnTo>
                                <a:lnTo>
                                  <a:pt x="13335" y="62484"/>
                                </a:lnTo>
                                <a:lnTo>
                                  <a:pt x="78613" y="27813"/>
                                </a:lnTo>
                                <a:lnTo>
                                  <a:pt x="136017" y="0"/>
                                </a:lnTo>
                                <a:close/>
                              </a:path>
                            </a:pathLst>
                          </a:custGeom>
                          <a:solidFill>
                            <a:srgbClr val="BE4B48"/>
                          </a:solidFill>
                          <a:ln w="0" cap="flat">
                            <a:noFill/>
                            <a:miter lim="127000"/>
                          </a:ln>
                          <a:effectLst/>
                        </wps:spPr>
                        <wps:bodyPr/>
                      </wps:wsp>
                      <wps:wsp>
                        <wps:cNvPr id="461" name="Shape 690"/>
                        <wps:cNvSpPr/>
                        <wps:spPr>
                          <a:xfrm>
                            <a:off x="1164717" y="744601"/>
                            <a:ext cx="148336" cy="75438"/>
                          </a:xfrm>
                          <a:custGeom>
                            <a:avLst/>
                            <a:gdLst/>
                            <a:ahLst/>
                            <a:cxnLst/>
                            <a:rect l="0" t="0" r="0" b="0"/>
                            <a:pathLst>
                              <a:path w="148336" h="75438">
                                <a:moveTo>
                                  <a:pt x="141605" y="0"/>
                                </a:moveTo>
                                <a:lnTo>
                                  <a:pt x="148336" y="17780"/>
                                </a:lnTo>
                                <a:lnTo>
                                  <a:pt x="115316" y="30226"/>
                                </a:lnTo>
                                <a:lnTo>
                                  <a:pt x="39751" y="61214"/>
                                </a:lnTo>
                                <a:lnTo>
                                  <a:pt x="7874" y="75438"/>
                                </a:lnTo>
                                <a:lnTo>
                                  <a:pt x="0" y="58039"/>
                                </a:lnTo>
                                <a:lnTo>
                                  <a:pt x="32004" y="43814"/>
                                </a:lnTo>
                                <a:lnTo>
                                  <a:pt x="108077" y="12573"/>
                                </a:lnTo>
                                <a:lnTo>
                                  <a:pt x="141605" y="0"/>
                                </a:lnTo>
                                <a:close/>
                              </a:path>
                            </a:pathLst>
                          </a:custGeom>
                          <a:solidFill>
                            <a:srgbClr val="BE4B48"/>
                          </a:solidFill>
                          <a:ln w="0" cap="flat">
                            <a:noFill/>
                            <a:miter lim="127000"/>
                          </a:ln>
                          <a:effectLst/>
                        </wps:spPr>
                        <wps:bodyPr/>
                      </wps:wsp>
                      <wps:wsp>
                        <wps:cNvPr id="462" name="Shape 691"/>
                        <wps:cNvSpPr/>
                        <wps:spPr>
                          <a:xfrm>
                            <a:off x="1360043" y="676275"/>
                            <a:ext cx="150622" cy="66294"/>
                          </a:xfrm>
                          <a:custGeom>
                            <a:avLst/>
                            <a:gdLst/>
                            <a:ahLst/>
                            <a:cxnLst/>
                            <a:rect l="0" t="0" r="0" b="0"/>
                            <a:pathLst>
                              <a:path w="150622" h="66294">
                                <a:moveTo>
                                  <a:pt x="144780" y="0"/>
                                </a:moveTo>
                                <a:lnTo>
                                  <a:pt x="150622" y="18161"/>
                                </a:lnTo>
                                <a:lnTo>
                                  <a:pt x="80518" y="40386"/>
                                </a:lnTo>
                                <a:lnTo>
                                  <a:pt x="6223" y="66294"/>
                                </a:lnTo>
                                <a:lnTo>
                                  <a:pt x="0" y="48260"/>
                                </a:lnTo>
                                <a:lnTo>
                                  <a:pt x="74295" y="22478"/>
                                </a:lnTo>
                                <a:lnTo>
                                  <a:pt x="144780" y="0"/>
                                </a:lnTo>
                                <a:close/>
                              </a:path>
                            </a:pathLst>
                          </a:custGeom>
                          <a:solidFill>
                            <a:srgbClr val="BE4B48"/>
                          </a:solidFill>
                          <a:ln w="0" cap="flat">
                            <a:noFill/>
                            <a:miter lim="127000"/>
                          </a:ln>
                          <a:effectLst/>
                        </wps:spPr>
                        <wps:bodyPr/>
                      </wps:wsp>
                      <wps:wsp>
                        <wps:cNvPr id="463" name="Shape 692"/>
                        <wps:cNvSpPr/>
                        <wps:spPr>
                          <a:xfrm>
                            <a:off x="1559814" y="619633"/>
                            <a:ext cx="151892" cy="58420"/>
                          </a:xfrm>
                          <a:custGeom>
                            <a:avLst/>
                            <a:gdLst/>
                            <a:ahLst/>
                            <a:cxnLst/>
                            <a:rect l="0" t="0" r="0" b="0"/>
                            <a:pathLst>
                              <a:path w="151892" h="58420">
                                <a:moveTo>
                                  <a:pt x="147447" y="0"/>
                                </a:moveTo>
                                <a:lnTo>
                                  <a:pt x="151892" y="18542"/>
                                </a:lnTo>
                                <a:lnTo>
                                  <a:pt x="142494" y="20828"/>
                                </a:lnTo>
                                <a:lnTo>
                                  <a:pt x="52705" y="44704"/>
                                </a:lnTo>
                                <a:lnTo>
                                  <a:pt x="5334" y="58420"/>
                                </a:lnTo>
                                <a:lnTo>
                                  <a:pt x="0" y="40132"/>
                                </a:lnTo>
                                <a:lnTo>
                                  <a:pt x="47371" y="26416"/>
                                </a:lnTo>
                                <a:lnTo>
                                  <a:pt x="137541" y="2413"/>
                                </a:lnTo>
                                <a:lnTo>
                                  <a:pt x="147447" y="0"/>
                                </a:lnTo>
                                <a:close/>
                              </a:path>
                            </a:pathLst>
                          </a:custGeom>
                          <a:solidFill>
                            <a:srgbClr val="BE4B48"/>
                          </a:solidFill>
                          <a:ln w="0" cap="flat">
                            <a:noFill/>
                            <a:miter lim="127000"/>
                          </a:ln>
                          <a:effectLst/>
                        </wps:spPr>
                        <wps:bodyPr/>
                      </wps:wsp>
                      <wps:wsp>
                        <wps:cNvPr id="464" name="Shape 693"/>
                        <wps:cNvSpPr/>
                        <wps:spPr>
                          <a:xfrm>
                            <a:off x="1762760" y="573659"/>
                            <a:ext cx="153035" cy="51054"/>
                          </a:xfrm>
                          <a:custGeom>
                            <a:avLst/>
                            <a:gdLst/>
                            <a:ahLst/>
                            <a:cxnLst/>
                            <a:rect l="0" t="0" r="0" b="0"/>
                            <a:pathLst>
                              <a:path w="153035" h="51054">
                                <a:moveTo>
                                  <a:pt x="149352" y="0"/>
                                </a:moveTo>
                                <a:lnTo>
                                  <a:pt x="153035" y="18669"/>
                                </a:lnTo>
                                <a:lnTo>
                                  <a:pt x="125222" y="24130"/>
                                </a:lnTo>
                                <a:lnTo>
                                  <a:pt x="31369" y="44577"/>
                                </a:lnTo>
                                <a:lnTo>
                                  <a:pt x="4572" y="51054"/>
                                </a:lnTo>
                                <a:lnTo>
                                  <a:pt x="0" y="32512"/>
                                </a:lnTo>
                                <a:lnTo>
                                  <a:pt x="26924" y="26035"/>
                                </a:lnTo>
                                <a:lnTo>
                                  <a:pt x="121285" y="5461"/>
                                </a:lnTo>
                                <a:lnTo>
                                  <a:pt x="149352" y="0"/>
                                </a:lnTo>
                                <a:close/>
                              </a:path>
                            </a:pathLst>
                          </a:custGeom>
                          <a:solidFill>
                            <a:srgbClr val="BE4B48"/>
                          </a:solidFill>
                          <a:ln w="0" cap="flat">
                            <a:noFill/>
                            <a:miter lim="127000"/>
                          </a:ln>
                          <a:effectLst/>
                        </wps:spPr>
                        <wps:bodyPr/>
                      </wps:wsp>
                      <wps:wsp>
                        <wps:cNvPr id="465" name="Shape 694"/>
                        <wps:cNvSpPr/>
                        <wps:spPr>
                          <a:xfrm>
                            <a:off x="1968246" y="537464"/>
                            <a:ext cx="153543" cy="43942"/>
                          </a:xfrm>
                          <a:custGeom>
                            <a:avLst/>
                            <a:gdLst/>
                            <a:ahLst/>
                            <a:cxnLst/>
                            <a:rect l="0" t="0" r="0" b="0"/>
                            <a:pathLst>
                              <a:path w="153543" h="43942">
                                <a:moveTo>
                                  <a:pt x="150749" y="0"/>
                                </a:moveTo>
                                <a:lnTo>
                                  <a:pt x="153543" y="18796"/>
                                </a:lnTo>
                                <a:lnTo>
                                  <a:pt x="112903" y="24892"/>
                                </a:lnTo>
                                <a:lnTo>
                                  <a:pt x="15621" y="41656"/>
                                </a:lnTo>
                                <a:lnTo>
                                  <a:pt x="3683" y="43942"/>
                                </a:lnTo>
                                <a:lnTo>
                                  <a:pt x="0" y="25273"/>
                                </a:lnTo>
                                <a:lnTo>
                                  <a:pt x="11938" y="22987"/>
                                </a:lnTo>
                                <a:lnTo>
                                  <a:pt x="109728" y="6096"/>
                                </a:lnTo>
                                <a:lnTo>
                                  <a:pt x="150749" y="0"/>
                                </a:lnTo>
                                <a:close/>
                              </a:path>
                            </a:pathLst>
                          </a:custGeom>
                          <a:solidFill>
                            <a:srgbClr val="BE4B48"/>
                          </a:solidFill>
                          <a:ln w="0" cap="flat">
                            <a:noFill/>
                            <a:miter lim="127000"/>
                          </a:ln>
                          <a:effectLst/>
                        </wps:spPr>
                        <wps:bodyPr/>
                      </wps:wsp>
                      <wps:wsp>
                        <wps:cNvPr id="467" name="Shape 695"/>
                        <wps:cNvSpPr/>
                        <wps:spPr>
                          <a:xfrm>
                            <a:off x="2175510" y="510667"/>
                            <a:ext cx="153670" cy="37211"/>
                          </a:xfrm>
                          <a:custGeom>
                            <a:avLst/>
                            <a:gdLst/>
                            <a:ahLst/>
                            <a:cxnLst/>
                            <a:rect l="0" t="0" r="0" b="0"/>
                            <a:pathLst>
                              <a:path w="153670" h="37211">
                                <a:moveTo>
                                  <a:pt x="151638" y="0"/>
                                </a:moveTo>
                                <a:lnTo>
                                  <a:pt x="153670" y="19050"/>
                                </a:lnTo>
                                <a:lnTo>
                                  <a:pt x="104521" y="24130"/>
                                </a:lnTo>
                                <a:lnTo>
                                  <a:pt x="4572" y="36957"/>
                                </a:lnTo>
                                <a:lnTo>
                                  <a:pt x="2794" y="37211"/>
                                </a:lnTo>
                                <a:lnTo>
                                  <a:pt x="0" y="18288"/>
                                </a:lnTo>
                                <a:lnTo>
                                  <a:pt x="1651" y="18035"/>
                                </a:lnTo>
                                <a:lnTo>
                                  <a:pt x="102108" y="5335"/>
                                </a:lnTo>
                                <a:lnTo>
                                  <a:pt x="151638" y="0"/>
                                </a:lnTo>
                                <a:close/>
                              </a:path>
                            </a:pathLst>
                          </a:custGeom>
                          <a:solidFill>
                            <a:srgbClr val="BE4B48"/>
                          </a:solidFill>
                          <a:ln w="0" cap="flat">
                            <a:noFill/>
                            <a:miter lim="127000"/>
                          </a:ln>
                          <a:effectLst/>
                        </wps:spPr>
                        <wps:bodyPr/>
                      </wps:wsp>
                      <wps:wsp>
                        <wps:cNvPr id="468" name="Shape 696"/>
                        <wps:cNvSpPr/>
                        <wps:spPr>
                          <a:xfrm>
                            <a:off x="2384171" y="493522"/>
                            <a:ext cx="153416" cy="30353"/>
                          </a:xfrm>
                          <a:custGeom>
                            <a:avLst/>
                            <a:gdLst/>
                            <a:ahLst/>
                            <a:cxnLst/>
                            <a:rect l="0" t="0" r="0" b="0"/>
                            <a:pathLst>
                              <a:path w="153416" h="30353">
                                <a:moveTo>
                                  <a:pt x="152273" y="0"/>
                                </a:moveTo>
                                <a:lnTo>
                                  <a:pt x="153416" y="19050"/>
                                </a:lnTo>
                                <a:lnTo>
                                  <a:pt x="98552" y="22352"/>
                                </a:lnTo>
                                <a:lnTo>
                                  <a:pt x="1651" y="30353"/>
                                </a:lnTo>
                                <a:lnTo>
                                  <a:pt x="0" y="11303"/>
                                </a:lnTo>
                                <a:lnTo>
                                  <a:pt x="97028" y="3302"/>
                                </a:lnTo>
                                <a:lnTo>
                                  <a:pt x="152273" y="0"/>
                                </a:lnTo>
                                <a:close/>
                              </a:path>
                            </a:pathLst>
                          </a:custGeom>
                          <a:solidFill>
                            <a:srgbClr val="BE4B48"/>
                          </a:solidFill>
                          <a:ln w="0" cap="flat">
                            <a:noFill/>
                            <a:miter lim="127000"/>
                          </a:ln>
                          <a:effectLst/>
                        </wps:spPr>
                        <wps:bodyPr/>
                      </wps:wsp>
                      <wps:wsp>
                        <wps:cNvPr id="469" name="Shape 697"/>
                        <wps:cNvSpPr/>
                        <wps:spPr>
                          <a:xfrm>
                            <a:off x="2593721" y="458089"/>
                            <a:ext cx="197104" cy="76200"/>
                          </a:xfrm>
                          <a:custGeom>
                            <a:avLst/>
                            <a:gdLst/>
                            <a:ahLst/>
                            <a:cxnLst/>
                            <a:rect l="0" t="0" r="0" b="0"/>
                            <a:pathLst>
                              <a:path w="197104" h="76200">
                                <a:moveTo>
                                  <a:pt x="120523" y="0"/>
                                </a:moveTo>
                                <a:lnTo>
                                  <a:pt x="197104" y="37211"/>
                                </a:lnTo>
                                <a:lnTo>
                                  <a:pt x="121412" y="76200"/>
                                </a:lnTo>
                                <a:lnTo>
                                  <a:pt x="121079" y="47661"/>
                                </a:lnTo>
                                <a:lnTo>
                                  <a:pt x="94234" y="48006"/>
                                </a:lnTo>
                                <a:lnTo>
                                  <a:pt x="635" y="51308"/>
                                </a:lnTo>
                                <a:lnTo>
                                  <a:pt x="0" y="32258"/>
                                </a:lnTo>
                                <a:lnTo>
                                  <a:pt x="93599" y="28956"/>
                                </a:lnTo>
                                <a:lnTo>
                                  <a:pt x="120857" y="28609"/>
                                </a:lnTo>
                                <a:lnTo>
                                  <a:pt x="120523" y="0"/>
                                </a:lnTo>
                                <a:close/>
                              </a:path>
                            </a:pathLst>
                          </a:custGeom>
                          <a:solidFill>
                            <a:srgbClr val="BE4B48"/>
                          </a:solidFill>
                          <a:ln w="0" cap="flat">
                            <a:noFill/>
                            <a:miter lim="127000"/>
                          </a:ln>
                          <a:effectLst/>
                        </wps:spPr>
                        <wps:bodyPr/>
                      </wps:wsp>
                    </wpg:wgp>
                  </a:graphicData>
                </a:graphic>
              </wp:inline>
            </w:drawing>
          </mc:Choice>
          <mc:Fallback>
            <w:pict>
              <v:group w14:anchorId="264D5281" id="Group 5493" o:spid="_x0000_s1026" style="width:448.4pt;height:218.25pt;mso-position-horizontal-relative:char;mso-position-vertical-relative:line" coordsize="56948,27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">
                <v:rect id="Rectangle 466" o:spid="_x0000_s1027" style="position:absolute;left:56429;top:25641;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B3013A" w:rsidRDefault="00B3013A" w:rsidP="00006DD5">
                        <w:pPr>
                          <w:spacing w:after="160" w:line="259" w:lineRule="auto"/>
                        </w:pPr>
                        <w:r>
                          <w:t xml:space="preserve"> </w:t>
                        </w:r>
                      </w:p>
                    </w:txbxContent>
                  </v:textbox>
                </v:rect>
                <v:shape id="Shape 600" o:spid="_x0000_s1028" style="position:absolute;left:16390;top:23586;width:766;height:197;visibility:visible;mso-wrap-style:square;v-text-anchor:top" coordsize="7658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sksUA&#10;AADaAAAADwAAAGRycy9kb3ducmV2LnhtbESP3WrCQBSE74W+w3IK3umm9QdJXUUKilYUGgXt3SF7&#10;mgSzZ2N2Nenbu4VCL4eZ+YaZzltTijvVrrCs4KUfgSBOrS44U3A8LHsTEM4jaywtk4IfcjCfPXWm&#10;GGvb8CfdE5+JAGEXo4Lc+yqW0qU5GXR9WxEH79vWBn2QdSZ1jU2Am1K+RtFYGiw4LORY0XtO6SW5&#10;GQXb/Wi93J6S1XkYXT9scxxt9O5Lqe5zu3gD4an1/+G/9lorGMDvlX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CySxQAAANoAAAAPAAAAAAAAAAAAAAAAAJgCAABkcnMv&#10;ZG93bnJldi54bWxQSwUGAAAAAAQABAD1AAAAigMAAAAA&#10;" path="m508,l18161,508,69850,635,76327,508r254,19050l69977,19685,18161,19558,,19050,508,xe" fillcolor="#4f81bd" stroked="f" strokeweight="0">
                  <v:stroke miterlimit="83231f" joinstyle="miter"/>
                  <v:path arrowok="t" textboxrect="0,0,76581,19685"/>
                </v:shape>
                <v:shape id="Shape 601" o:spid="_x0000_s1029" style="position:absolute;left:17724;top:23558;width:768;height:217;visibility:visible;mso-wrap-style:square;v-text-anchor:top" coordsize="76835,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bmcAA&#10;AADaAAAADwAAAGRycy9kb3ducmV2LnhtbESP0YrCMBRE3xf8h3AF39ZUEdntmhYRRFH2oeoHXJpr&#10;W0xuShO1/r0RBB+HmTnDLPLeGnGjzjeOFUzGCQji0umGKwWn4/r7B4QPyBqNY1LwIA95NvhaYKrd&#10;nQu6HUIlIoR9igrqENpUSl/WZNGPXUscvbPrLIYou0rqDu8Rbo2cJslcWmw4LtTY0qqm8nK4WgVb&#10;sysKv+fd//zYTjfmpB3bX6VGw375ByJQHz7hd3urFczgdSXe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UbmcAAAADaAAAADwAAAAAAAAAAAAAAAACYAgAAZHJzL2Rvd25y&#10;ZXYueG1sUEsFBgAAAAAEAAQA9QAAAIUDAAAAAA==&#10;" path="m75946,r889,19050l40767,20574,508,21717,,2667,39878,1651,75946,xe" fillcolor="#4f81bd" stroked="f" strokeweight="0">
                  <v:stroke miterlimit="83231f" joinstyle="miter"/>
                  <v:path arrowok="t" textboxrect="0,0,76835,21717"/>
                </v:shape>
                <v:shape id="Shape 602" o:spid="_x0000_s1030" style="position:absolute;left:15055;top:23529;width:770;height:230;visibility:visible;mso-wrap-style:square;v-text-anchor:top" coordsize="7696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nWcQA&#10;AADaAAAADwAAAGRycy9kb3ducmV2LnhtbESP3WrCQBSE7wu+w3IE7+omwRaJriJiWwsF8Qe9PWSP&#10;STB7NuxuTfr23ULBy2FmvmHmy9404k7O15YVpOMEBHFhdc2lgtPx7XkKwgdkjY1lUvBDHpaLwdMc&#10;c2073tP9EEoRIexzVFCF0OZS+qIig35sW+LoXa0zGKJ0pdQOuwg3jcyS5FUarDkuVNjSuqLidvg2&#10;Cj7q82TjuvTWb7/8bnX8fL9c95lSo2G/moEI1IdH+L+91Qpe4O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Z1nEAAAA2gAAAA8AAAAAAAAAAAAAAAAAmAIAAGRycy9k&#10;b3ducmV2LnhtbFBLBQYAAAAABAAEAPUAAACJAwAAAAA=&#10;" path="m1016,l48514,2794,76962,3937r-762,19050l47752,21844,,19050,1016,xe" fillcolor="#4f81bd" stroked="f" strokeweight="0">
                  <v:stroke miterlimit="83231f" joinstyle="miter"/>
                  <v:path arrowok="t" textboxrect="0,0,76962,22987"/>
                </v:shape>
                <v:shape id="Shape 603" o:spid="_x0000_s1031" style="position:absolute;left:19052;top:23465;width:775;height:250;visibility:visible;mso-wrap-style:square;v-text-anchor:top" coordsize="77470,2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tjsQA&#10;AADaAAAADwAAAGRycy9kb3ducmV2LnhtbESPQWsCMRSE74L/ITzBi9RsFWzZGqUIouChdN1Cj4/N&#10;627o5mVJorv+eyMUehxm5htmvR1sK67kg3Gs4HmegSCunDZcKyjP+6dXECEia2wdk4IbBdhuxqM1&#10;5tr1/EnXItYiQTjkqKCJsculDFVDFsPcdcTJ+3HeYkzS11J77BPctnKRZStp0XBaaLCjXUPVb3Gx&#10;CmZuufvuv0x2OrxcPsq9KXypb0pNJ8P7G4hIQ/wP/7WPWsEKHlfSD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LY7EAAAA2gAAAA8AAAAAAAAAAAAAAAAAmAIAAGRycy9k&#10;b3ducmV2LnhtbFBLBQYAAAAABAAEAPUAAACJAwAAAAA=&#10;" path="m75692,r1778,18923l62484,20320,11430,24384,1143,25019,,5969,9906,5334,60706,1397,75692,xe" fillcolor="#4f81bd" stroked="f" strokeweight="0">
                  <v:stroke miterlimit="83231f" joinstyle="miter"/>
                  <v:path arrowok="t" textboxrect="0,0,77470,25019"/>
                </v:shape>
                <v:shape id="Shape 604" o:spid="_x0000_s1032" style="position:absolute;left:13722;top:23414;width:777;height:263;visibility:visible;mso-wrap-style:square;v-text-anchor:top" coordsize="77724,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q8MA&#10;AADaAAAADwAAAGRycy9kb3ducmV2LnhtbESPT4vCMBTE7wt+h/AEb2uqB7NUo/gHQfC0urB4ezTP&#10;ttq81CZq3U9vBGGPw8z8hpnMWluJGzW+dKxh0E9AEGfOlJxr+NmvP79A+IBssHJMGh7kYTbtfEww&#10;Ne7O33TbhVxECPsUNRQh1KmUPivIou+7mjh6R9dYDFE2uTQN3iPcVnKYJCNpseS4UGBNy4Ky8+5q&#10;Naxapc5+uT79XhaH8jCSW/VnlNa9bjsfgwjUhv/wu70xGhS8rs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e/q8MAAADaAAAADwAAAAAAAAAAAAAAAACYAgAAZHJzL2Rv&#10;d25yZXYueG1sUEsFBgAAAAAEAAQA9QAAAIgDAAAAAA==&#10;" path="m2032,l29591,2921,77724,7239,75946,26289,27940,21844,,18923,2032,xe" fillcolor="#4f81bd" stroked="f" strokeweight="0">
                  <v:stroke miterlimit="83231f" joinstyle="miter"/>
                  <v:path arrowok="t" textboxrect="0,0,77724,26289"/>
                </v:shape>
                <v:shape id="Shape 605" o:spid="_x0000_s1033" style="position:absolute;left:20375;top:23313;width:779;height:283;visibility:visible;mso-wrap-style:square;v-text-anchor:top" coordsize="77851,2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8n0sQA&#10;AADaAAAADwAAAGRycy9kb3ducmV2LnhtbESPTWvDMAyG74P9B6PBbqvTMbqS1i0lY1vpTv2AXkWs&#10;xiGxHGIvzfbrq8NgR/HqfaRnuR59qwbqYx3YwHSSgSIug625MnA6vj/NQcWEbLENTAZ+KMJ6dX+3&#10;xNyGK+9pOKRKCYRjjgZcSl2udSwdeYyT0BFLdgm9xyRjX2nb41XgvtXPWTbTHmuWCw47KhyVzeHb&#10;C6U5zz6Kz537PY1FOzQvX7vq7dWYx4dxswCVaEz/y3/trTUgv4qKaI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J9LEAAAA2gAAAA8AAAAAAAAAAAAAAAAAmAIAAGRycy9k&#10;b3ducmV2LnhtbFBLBQYAAAAABAAEAPUAAACJAwAAAAA=&#10;" path="m75438,r2413,18796l30861,25019,2159,28321,,9271,28321,6096,75438,xe" fillcolor="#4f81bd" stroked="f" strokeweight="0">
                  <v:stroke miterlimit="83231f" joinstyle="miter"/>
                  <v:path arrowok="t" textboxrect="0,0,77851,28321"/>
                </v:shape>
                <v:shape id="Shape 606" o:spid="_x0000_s1034" style="position:absolute;left:12395;top:23246;width:781;height:293;visibility:visible;mso-wrap-style:square;v-text-anchor:top" coordsize="78105,2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A4sMA&#10;AADaAAAADwAAAGRycy9kb3ducmV2LnhtbESPQWvCQBSE7wX/w/IEb3VjCNamriKKoIceGj30+Mi+&#10;JtHs25Bd1/jv3UKhx2FmvmGW68G0IlDvGssKZtMEBHFpdcOVgvNp/7oA4TyyxtYyKXiQg/Vq9LLE&#10;XNs7f1EofCUihF2OCmrvu1xKV9Zk0E1tRxy9H9sb9FH2ldQ93iPctDJNkrk02HBcqLGjbU3ltbgZ&#10;BTub3t6yLDRX80h34fKZHcPiW6nJeNh8gPA0+P/wX/ugFbzD75V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dA4sMAAADaAAAADwAAAAAAAAAAAAAAAACYAgAAZHJzL2Rv&#10;d25yZXYueG1sUEsFBgAAAAAEAAQA9QAAAIgDAAAAAA==&#10;" path="m2921,l15494,1905,63627,8636r14478,1778l75819,29337,61214,27559,12827,20828,,18923,2921,xe" fillcolor="#4f81bd" stroked="f" strokeweight="0">
                  <v:stroke miterlimit="83231f" joinstyle="miter"/>
                  <v:path arrowok="t" textboxrect="0,0,78105,29337"/>
                </v:shape>
                <v:shape id="Shape 607" o:spid="_x0000_s1035" style="position:absolute;left:21692;top:23098;width:784;height:319;visibility:visible;mso-wrap-style:square;v-text-anchor:top" coordsize="78359,3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vs8MA&#10;AADbAAAADwAAAGRycy9kb3ducmV2LnhtbESPQW/CMAyF70j7D5En7QbpOKCpEBBjqjRxGmWX3Uxj&#10;morGiZoA3b+fD0i72XrP731ebUbfqxsNqQts4HVWgCJugu24NfB9rKZvoFJGttgHJgO/lGCzfpqs&#10;sLThzge61blVEsKpRAMu51hqnRpHHtMsRGLRzmHwmGUdWm0HvEu47/W8KBbaY8fS4DDSzlFzqa/e&#10;ADXxg/u4O43113V++nmvjntXGfPyPG6XoDKN+d/8uP60gi/0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Evs8MAAADbAAAADwAAAAAAAAAAAAAAAACYAgAAZHJzL2Rv&#10;d25yZXYueG1sUEsFBgAAAAAEAAQA9QAAAIgDAAAAAA==&#10;" path="m74803,r3556,18796l44450,25019,3048,31877,,13081,41021,6223,74803,xe" fillcolor="#4f81bd" stroked="f" strokeweight="0">
                  <v:stroke miterlimit="83231f" joinstyle="miter"/>
                  <v:path arrowok="t" textboxrect="0,0,78359,31877"/>
                </v:shape>
                <v:shape id="Shape 608" o:spid="_x0000_s1036" style="position:absolute;left:11076;top:23018;width:785;height:325;visibility:visible;mso-wrap-style:square;v-text-anchor:top" coordsize="78486,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2Jb0A&#10;AADbAAAADwAAAGRycy9kb3ducmV2LnhtbERPSwrCMBDdC94hjOBOU0VEq1GKILoR8YPgbmjGtthM&#10;ShO13t4Igrt5vO/Ml40pxZNqV1hWMOhHIIhTqwvOFJxP694EhPPIGkvLpOBNDpaLdmuOsbYvPtDz&#10;6DMRQtjFqCD3voqldGlOBl3fVsSBu9naoA+wzqSu8RXCTSmHUTSWBgsODTlWtMopvR8fRsE9dck+&#10;SuRlM7rKonF2d5mOd0p1O00yA+Gp8X/xz73VYf4A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b2Jb0AAADbAAAADwAAAAAAAAAAAAAAAACYAgAAZHJzL2Rvd25yZXYu&#10;eG1sUEsFBgAAAAAEAAQA9QAAAIIDAAAAAA==&#10;" path="m3810,l8636,1016,53848,9652r24638,4191l75311,32512,50673,28321,5080,19812,,18669,3810,xe" fillcolor="#4f81bd" stroked="f" strokeweight="0">
                  <v:stroke miterlimit="83231f" joinstyle="miter"/>
                  <v:path arrowok="t" textboxrect="0,0,78486,32512"/>
                </v:shape>
                <v:shape id="Shape 609" o:spid="_x0000_s1037" style="position:absolute;left:23000;top:22819;width:784;height:355;visibility:visible;mso-wrap-style:square;v-text-anchor:top" coordsize="78359,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8DMIA&#10;AADbAAAADwAAAGRycy9kb3ducmV2LnhtbERPTWvCQBC9C/6HZQRvulGhmNRViiDkoJSq4HXMTrOh&#10;2dmYXWPaX98tFLzN433OatPbWnTU+sqxgtk0AUFcOF1xqeB82k2WIHxA1lg7JgXf5GGzHg5WmGn3&#10;4A/qjqEUMYR9hgpMCE0mpS8MWfRT1xBH7tO1FkOEbSl1i48Ybms5T5IXabHi2GCwoa2h4ut4twpO&#10;oTnnl0O9WP50C5OmN3/N3/dKjUf92yuIQH14iv/duY7z5/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wMwgAAANsAAAAPAAAAAAAAAAAAAAAAAJgCAABkcnMvZG93&#10;bnJldi54bWxQSwUGAAAAAAQABAD1AAAAhwMAAAAA&#10;" path="m73914,r4445,18542l50038,25400,5715,35179r-2032,381l,16891r1651,-381l45593,6858,73914,xe" fillcolor="#4f81bd" stroked="f" strokeweight="0">
                  <v:stroke miterlimit="83231f" joinstyle="miter"/>
                  <v:path arrowok="t" textboxrect="0,0,78359,35560"/>
                </v:shape>
                <v:shape id="Shape 610" o:spid="_x0000_s1038" style="position:absolute;left:9771;top:22725;width:786;height:362;visibility:visible;mso-wrap-style:square;v-text-anchor:top" coordsize="78613,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OMAA&#10;AADbAAAADwAAAGRycy9kb3ducmV2LnhtbERPTWvCQBC9F/oflil4q5tWEImuIhZB8FCNHjwO2TGJ&#10;ZmfDzlbjv+8WCt7m8T5ntuhdq24UpPFs4GOYgSIuvW24MnA8rN8noCQiW2w9k4EHCSzmry8zzK2/&#10;855uRaxUCmHJ0UAdY5drLWVNDmXoO+LEnX1wGBMMlbYB7ynctfozy8baYcOpocaOVjWV1+LHGfhq&#10;A53K9XZHNOFCtge5fF/FmMFbv5yCitTHp/jfvbFp/gj+fkkH6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mOMAAAADbAAAADwAAAAAAAAAAAAAAAACYAgAAZHJzL2Rvd25y&#10;ZXYueG1sUEsFBgAAAAAEAAQA9QAAAIUDAAAAAA==&#10;" path="m4953,r6604,1778l52705,11811r25908,5842l74422,36195,48641,30353,7112,20193,,18415,4953,xe" fillcolor="#4f81bd" stroked="f" strokeweight="0">
                  <v:stroke miterlimit="83231f" joinstyle="miter"/>
                  <v:path arrowok="t" textboxrect="0,0,78613,36195"/>
                </v:shape>
                <v:shape id="Shape 611" o:spid="_x0000_s1039" style="position:absolute;left:24291;top:22461;width:782;height:400;visibility:visible;mso-wrap-style:square;v-text-anchor:top" coordsize="78232,40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xxccA&#10;AADbAAAADwAAAGRycy9kb3ducmV2LnhtbESPQWvCQBCF74L/YRmhF9GNpQRNsxErCPYiVGuhtyE7&#10;TYK7s2l2q6m/visIvc3w3rzvTb7srRFn6nzjWMFsmoAgLp1uuFLwfthM5iB8QNZoHJOCX/KwLIaD&#10;HDPtLvxG532oRAxhn6GCOoQ2k9KXNVn0U9cSR+3LdRZDXLtK6g4vMdwa+ZgkqbTYcCTU2NK6pvK0&#10;/7GRuzOpWWzbl9l8Mf7+OBxfd9f0U6mHUb96BhGoD//m+/VWx/pPcPslDi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8cXHAAAA2wAAAA8AAAAAAAAAAAAAAAAAmAIAAGRy&#10;cy9kb3ducmV2LnhtbFBLBQYAAAAABAAEAPUAAACMAwAAAAA=&#10;" path="m72644,r5588,18161l45466,28448,5334,39878r-508,127l,21590r127,l39751,10160,72644,xe" fillcolor="#4f81bd" stroked="f" strokeweight="0">
                  <v:stroke miterlimit="83231f" joinstyle="miter"/>
                  <v:path arrowok="t" textboxrect="0,0,78232,40005"/>
                </v:shape>
                <v:shape id="Shape 612" o:spid="_x0000_s1040" style="position:absolute;left:8487;top:22344;width:784;height:413;visibility:visible;mso-wrap-style:square;v-text-anchor:top" coordsize="78359,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ggL8A&#10;AADbAAAADwAAAGRycy9kb3ducmV2LnhtbERPTYvCMBC9L/gfwgje1lRlRapR1GVlF09WvQ/N2FSb&#10;SWmi1n+/EQRv83ifM1u0thI3anzpWMGgn4Agzp0uuVBw2P98TkD4gKyxckwKHuRhMe98zDDV7s47&#10;umWhEDGEfYoKTAh1KqXPDVn0fVcTR+7kGoshwqaQusF7DLeVHCbJWFosOTYYrGltKL9kV6vgqO0+&#10;/B315pBtv0fldbc6r9ZGqV63XU5BBGrDW/xy/+o4/wu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CAvwAAANsAAAAPAAAAAAAAAAAAAAAAAJgCAABkcnMvZG93bnJl&#10;di54bWxQSwUGAAAAAAQABAD1AAAAhAMAAAAA&#10;" path="m6223,l26289,6985,62484,18288r15875,4699l73152,41275,57150,36576,20574,25146,,18034,6223,xe" fillcolor="#4f81bd" stroked="f" strokeweight="0">
                  <v:stroke miterlimit="83231f" joinstyle="miter"/>
                  <v:path arrowok="t" textboxrect="0,0,78359,41275"/>
                </v:shape>
                <v:shape id="Shape 613" o:spid="_x0000_s1041" style="position:absolute;left:25553;top:21995;width:779;height:461;visibility:visible;mso-wrap-style:square;v-text-anchor:top" coordsize="77851,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BmMEA&#10;AADbAAAADwAAAGRycy9kb3ducmV2LnhtbERPTWvCQBC9F/oflin01mwsjZSYVVQoivRi2t6H7JgE&#10;s7NrdhuTf98VCt7m8T6nWI2mEwP1vrWsYJakIIgrq1uuFXx/fby8g/ABWWNnmRRM5GG1fHwoMNf2&#10;ykcaylCLGMI+RwVNCC6X0lcNGfSJdcSRO9neYIiwr6Xu8RrDTSdf03QuDbYcGxp0tG2oOpe/RsFF&#10;vuHu87Cr9sN2M2WZdT9n45R6fhrXCxCBxnAX/7v3Os6fw+2Xe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FQZjBAAAA2wAAAA8AAAAAAAAAAAAAAAAAmAIAAGRycy9kb3du&#10;cmV2LnhtbFBLBQYAAAAABAAEAPUAAACGAwAAAAA=&#10;" path="m70104,r7747,17526l62103,24384,29210,37846,6604,46101,,28194,21971,20066,54356,6985,70104,xe" fillcolor="#4f81bd" stroked="f" strokeweight="0">
                  <v:stroke miterlimit="83231f" joinstyle="miter"/>
                  <v:path arrowok="t" textboxrect="0,0,77851,46101"/>
                </v:shape>
                <v:shape id="Shape 614" o:spid="_x0000_s1042" style="position:absolute;left:7244;top:21841;width:774;height:484;visibility:visible;mso-wrap-style:square;v-text-anchor:top" coordsize="77470,4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Rk8MA&#10;AADbAAAADwAAAGRycy9kb3ducmV2LnhtbESPQWvDMAyF74X+B6PCbo3THZYurRtKYWzstrYEdhOx&#10;6qSJ5RB7Sfbv58FgN4n33qenfTHbTow0+Maxgk2SgiCunG7YKLheXtZbED4ga+wck4Jv8lAclos9&#10;5tpN/EHjORgRIexzVFCH0OdS+qomiz5xPXHUbm6wGOI6GKkHnCLcdvIxTZ+kxYbjhRp7OtVUtecv&#10;Gyl3bxpTnV7DuGkpe5/Lz+e0VOphNR93IALN4d/8l37TsX4Gv7/EA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kRk8MAAADbAAAADwAAAAAAAAAAAAAAAACYAgAAZHJzL2Rv&#10;d25yZXYueG1sUEsFBgAAAAAEAAQA9QAAAIgDAAAAAA==&#10;" path="m8636,r3429,1651l25146,8128,53340,20828r24130,9906l70231,48387,46101,38481,17399,25527,3683,18796,,16891,8636,xe" fillcolor="#4f81bd" stroked="f" strokeweight="0">
                  <v:stroke miterlimit="83231f" joinstyle="miter"/>
                  <v:path arrowok="t" textboxrect="0,0,77470,48387"/>
                </v:shape>
                <v:shape id="Shape 615" o:spid="_x0000_s1043" style="position:absolute;left:26763;top:21361;width:751;height:559;visibility:visible;mso-wrap-style:square;v-text-anchor:top" coordsize="75057,5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7ncIA&#10;AADbAAAADwAAAGRycy9kb3ducmV2LnhtbESPT2sCMRDF74V+hzAFbzVbkWJXo5RSUXqr1fuwmf2j&#10;m0lIort++86h0NsM7817v1ltRterG8XUeTbwMi1AEVfedtwYOP5snxegUka22HsmA3dKsFk/Pqyw&#10;tH7gb7odcqMkhFOJBtqcQ6l1qlpymKY+EItW++gwyxobbSMOEu56PSuKV+2wY2loMdBHS9XlcHUG&#10;vt7O7nPmdsMi1HG7S6d9qI9zYyZP4/sSVKYx/5v/rvdW8AVWfpE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zudwgAAANsAAAAPAAAAAAAAAAAAAAAAAJgCAABkcnMvZG93&#10;bnJldi54bWxQSwUGAAAAAAQABAD1AAAAhwMAAAAA&#10;" path="m63500,l75057,15113r-1143,889l63119,23495,51816,30988,40005,38354,27559,45720,14478,53086,8890,55880,,39116,5207,36322,17780,29337,29972,22225,41275,15113,52197,8001,62357,762,63500,xe" fillcolor="#4f81bd" stroked="f" strokeweight="0">
                  <v:stroke miterlimit="83231f" joinstyle="miter"/>
                  <v:path arrowok="t" textboxrect="0,0,75057,55880"/>
                </v:shape>
                <v:shape id="Shape 616" o:spid="_x0000_s1044" style="position:absolute;left:6002;top:20613;width:842;height:1109;visibility:visible;mso-wrap-style:square;v-text-anchor:top" coordsize="84201,11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LfL0A&#10;AADbAAAADwAAAGRycy9kb3ducmV2LnhtbERPTYvCMBC9C/6HMII3TVdQajWK1F3wJrZ6H5qxLdtM&#10;ShO1/nsjCN7m8T5nve1NI+7Uudqygp9pBIK4sLrmUsE5/5vEIJxH1thYJgVPcrDdDAdrTLR98Inu&#10;mS9FCGGXoILK+zaR0hUVGXRT2xIH7mo7gz7ArpS6w0cIN42cRdFCGqw5NFTYUlpR8Z/djIJ818xT&#10;3N+yIy8xTuvDNb78SqXGo363AuGp91/xx33QYf4S3r+E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j0LfL0AAADbAAAADwAAAAAAAAAAAAAAAACYAgAAZHJzL2Rvd25yZXYu&#10;eG1sUEsFBgAAAAAEAAQA9QAAAIIDAAAAAA==&#10;" path="m,l68580,50419,44247,62904r1442,2268l52197,71120r8382,6858l69469,84709r9525,6731l84201,94869,73787,110871r-5207,-3429l58420,100203,49022,93091,40259,85979,32004,78613v-635,-635,-1143,-1270,-1651,-2032l27215,71644,762,85217,,xe" fillcolor="#4f81bd" stroked="f" strokeweight="0">
                  <v:stroke miterlimit="83231f" joinstyle="miter"/>
                  <v:path arrowok="t" textboxrect="0,0,84201,110871"/>
                </v:shape>
                <v:shape id="Shape 617" o:spid="_x0000_s1045" style="position:absolute;left:27807;top:20369;width:470;height:747;visibility:visible;mso-wrap-style:square;v-text-anchor:top" coordsize="4699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DGMMA&#10;AADbAAAADwAAAGRycy9kb3ducmV2LnhtbESPwU4CQQyG7ya8w6Qk3qQLIWgWBmKMEhLwIMq92am7&#10;qzOdzc4I69vTg4nH5u//td9qMwRvztynNoqF6aQAw1JF10pt4eP95e4BTMokjnwUtvDLCTbr0c2K&#10;Shcv8sbnY66NQiSVZKHJuSsRU9VwoDSJHYtmn7EPlHXsa3Q9XRQePM6KYoGBWtELDXX81HD1ffwJ&#10;StkiSq481vv71/nOf53i4Xlq7e14eFyCyTzk/+W/9s5ZmOn36qIeg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vDGMMAAADbAAAADwAAAAAAAAAAAAAAAACYAgAAZHJzL2Rv&#10;d25yZXYueG1sUEsFBgAAAAAEAAQA9QAAAIgDAAAAAA==&#10;" path="m28067,l46990,889r-381,7874l45339,17526r-2159,8636l40132,34671r-3810,8509l31623,51562r-5207,8255l20193,68072r-5588,6604l,62484,4953,56642r5461,-7112l14986,42291r3937,-6985l22225,28321r2413,-6858l26543,14478,27686,7747,28067,xe" fillcolor="#4f81bd" stroked="f" strokeweight="0">
                  <v:stroke miterlimit="83231f" joinstyle="miter"/>
                  <v:path arrowok="t" textboxrect="0,0,46990,74676"/>
                </v:shape>
                <v:shape id="Shape 618" o:spid="_x0000_s1046" style="position:absolute;left:12004;top:3218;width:16221;height:997;visibility:visible;mso-wrap-style:square;v-text-anchor:top" coordsize="1622171,9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om8IA&#10;AADbAAAADwAAAGRycy9kb3ducmV2LnhtbESPQYvCMBSE7wv+h/CEva2pHqTURhF10YOXVRG8PZtn&#10;U2xeSpO13X+/EQSPw8x8w+SL3tbiQa2vHCsYjxIQxIXTFZcKTsfvrxSED8gaa8ek4I88LOaDjxwz&#10;7Tr+occhlCJC2GeowITQZFL6wpBFP3INcfRurrUYomxLqVvsItzWcpIkU2mx4rhgsKGVoeJ++LUK&#10;ltW23Keby7mb4tWs9mlCvL4r9TnslzMQgfrwDr/aO61gMob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uibwgAAANsAAAAPAAAAAAAAAAAAAAAAAJgCAABkcnMvZG93&#10;bnJldi54bWxQSwUGAAAAAAQABAD1AAAAhwMAAAAA&#10;" path="m83185,1270c85471,,88392,762,89789,3048v1270,2159,508,5080,-1778,6477l27051,45085r1567942,l1534033,9525v-2286,-1397,-3048,-4318,-1651,-6477c1533652,762,1536573,,1538859,1270r83312,48515l1538859,98425v-2286,1270,-5207,509,-6477,-1777c1530985,94488,1531747,91567,1534033,90170r60961,-35560l27050,54610,88011,90170v2286,1397,3048,4318,1778,6478c88392,98934,85471,99695,83185,98425l,49785,83185,1270xe" fillcolor="black" stroked="f" strokeweight="0">
                  <v:stroke miterlimit="83231f" joinstyle="miter"/>
                  <v:path arrowok="t" textboxrect="0,0,1622171,99695"/>
                </v:shape>
                <v:shape id="Shape 619" o:spid="_x0000_s1047" style="position:absolute;left:28182;top:12711;width:867;height:928;visibility:visible;mso-wrap-style:square;v-text-anchor:top" coordsize="86741,9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3W8QA&#10;AADbAAAADwAAAGRycy9kb3ducmV2LnhtbESPQWvCQBSE74X+h+UVvNVNA1qbupFSlAoeimno+ZF9&#10;zYZk34bsGtN/7wqCx2FmvmHWm8l2YqTBN44VvMwTEMSV0w3XCsqf3fMKhA/IGjvHpOCfPGzyx4c1&#10;Ztqd+UhjEWoRIewzVGBC6DMpfWXIop+7njh6f26wGKIcaqkHPEe47WSaJEtpseG4YLCnT0NVW5ys&#10;gq/vt0aWv/tx1x7Myb4utmHclkrNnqaPdxCBpnAP39p7rSBN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N1vEAAAA2wAAAA8AAAAAAAAAAAAAAAAAmAIAAGRycy9k&#10;b3ducmV2LnhtbFBLBQYAAAAABAAEAPUAAACJAwAAAAA=&#10;" path="m78359,r8382,17145l83566,18669,66040,28448,52689,36944,75438,53340,,92837,13589,8763,37077,25692r896,-1181c38735,23623,39497,22860,40513,22225l56769,11811,75057,1651,78359,xe" fillcolor="#4f81bd" stroked="f" strokeweight="0">
                  <v:stroke miterlimit="83231f" joinstyle="miter"/>
                  <v:path arrowok="t" textboxrect="0,0,86741,92837"/>
                </v:shape>
                <v:shape id="Shape 620" o:spid="_x0000_s1048" style="position:absolute;left:29494;top:12223;width:782;height:430;visibility:visible;mso-wrap-style:square;v-text-anchor:top" coordsize="78232,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wd8UA&#10;AADbAAAADwAAAGRycy9kb3ducmV2LnhtbESPQWvCQBSE74L/YXmFXqRuEkHa1FW0NCI9tVa0x0f2&#10;NQlm34bsNon/visIHoeZ+YZZrAZTi45aV1lWEE8jEMS51RUXCg7f2dMzCOeRNdaWScGFHKyW49EC&#10;U217/qJu7wsRIOxSVFB636RSurwkg25qG+Lg/drWoA+yLaRusQ9wU8skiubSYMVhocSG3krKz/s/&#10;owAPs6N+38WbD5N9xi9DdPrZTlipx4dh/QrC0+Dv4Vt7pxUkM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B3xQAAANsAAAAPAAAAAAAAAAAAAAAAAJgCAABkcnMv&#10;ZG93bnJldi54bWxQSwUGAAAAAAQABAD1AAAAigMAAAAA&#10;" path="m72771,r5461,18288l69088,20955,42164,29845,16891,38989,6985,42926,,25273,10414,21082,36195,11811,63627,2794,72771,xe" fillcolor="#4f81bd" stroked="f" strokeweight="0">
                  <v:stroke miterlimit="83231f" joinstyle="miter"/>
                  <v:path arrowok="t" textboxrect="0,0,78232,42926"/>
                </v:shape>
                <v:shape id="Shape 621" o:spid="_x0000_s1049" style="position:absolute;left:30775;top:11889;width:785;height:362;visibility:visible;mso-wrap-style:square;v-text-anchor:top" coordsize="78486,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028UA&#10;AADbAAAADwAAAGRycy9kb3ducmV2LnhtbESP3WoCMRSE7wu+QziF3tWsbpW6GkVKLQVB1PoAx+R0&#10;d3FzsmzS/Xn7Rij0cpiZb5jVpreVaKnxpWMFk3ECglg7U3Ku4PK1e34F4QOywcoxKRjIw2Y9elhh&#10;ZlzHJ2rPIRcRwj5DBUUIdSal1wVZ9GNXE0fv2zUWQ5RNLk2DXYTbSk6TZC4tlhwXCqzprSB9O/9Y&#10;Bfv5rrwe+1v6Mdub4TBJvX5faKWeHvvtEkSgPvyH/9qfRsH0Be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bTbxQAAANsAAAAPAAAAAAAAAAAAAAAAAJgCAABkcnMv&#10;ZG93bnJldi54bWxQSwUGAAAAAAQABAD1AAAAigMAAAAA&#10;" path="m74422,r4064,18669l64262,21717,31369,29464,4699,36195,,17780,26924,10795,60198,3048,74422,xe" fillcolor="#4f81bd" stroked="f" strokeweight="0">
                  <v:stroke miterlimit="83231f" joinstyle="miter"/>
                  <v:path arrowok="t" textboxrect="0,0,78486,36195"/>
                </v:shape>
                <v:shape id="Shape 622" o:spid="_x0000_s1050" style="position:absolute;left:32084;top:11644;width:781;height:318;visibility:visible;mso-wrap-style:square;v-text-anchor:top" coordsize="7810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GvcIA&#10;AADbAAAADwAAAGRycy9kb3ducmV2LnhtbESPT2sCMRDF74V+hzCF3mpWoSKrUaSwtCehq9TrdDNm&#10;FzeTJRl1++0bodDj4/358Vab0ffqSjF1gQ1MJwUo4ibYjp2Bw756WYBKgmyxD0wGfijBZv34sMLS&#10;hht/0rUWp/IIpxINtCJDqXVqWvKYJmEgzt4pRI+SZXTaRrzlcd/rWVHMtceOM6HFgd5aas71xWfu&#10;17vbHetUf8cqHKSS3dQdL8Y8P43bJSihUf7Df+0Pa2D2Cvcv+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wa9wgAAANsAAAAPAAAAAAAAAAAAAAAAAJgCAABkcnMvZG93&#10;bnJldi54bWxQSwUGAAAAAAQABAD1AAAAhwMAAAAA&#10;" path="m75311,r2794,18796l77089,19050,39624,25273,3302,31750,,13081,36449,6477,74295,127,75311,xe" fillcolor="#4f81bd" stroked="f" strokeweight="0">
                  <v:stroke miterlimit="83231f" joinstyle="miter"/>
                  <v:path arrowok="t" textboxrect="0,0,78105,31750"/>
                </v:shape>
                <v:shape id="Shape 623" o:spid="_x0000_s1051" style="position:absolute;left:33403;top:11469;width:780;height:282;visibility:visible;mso-wrap-style:square;v-text-anchor:top" coordsize="77978,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reMQA&#10;AADbAAAADwAAAGRycy9kb3ducmV2LnhtbESPQWvCQBSE7wX/w/KE3pqNQqVG1xCEFin0YBRzfWaf&#10;STD7NmTXJP333UKhx2FmvmG26WRaMVDvGssKFlEMgri0uuFKwfn0/vIGwnlkja1lUvBNDtLd7GmL&#10;ibYjH2nIfSUChF2CCmrvu0RKV9Zk0EW2Iw7ezfYGfZB9JXWPY4CbVi7jeCUNNhwWauxoX1N5zx9G&#10;wet6yD+PmRwvXOiP4ut+O09XqdTzfMo2IDxN/j/81z5oBcsV/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63jEAAAA2wAAAA8AAAAAAAAAAAAAAAAAmAIAAGRycy9k&#10;b3ducmV2LnhtbFBLBQYAAAAABAAEAPUAAACJAwAAAAA=&#10;" path="m75946,r2032,19050l62992,20574,22987,25400,2667,28194,,9271,20701,6477,61087,1651,75946,xe" fillcolor="#4f81bd" stroked="f" strokeweight="0">
                  <v:stroke miterlimit="83231f" joinstyle="miter"/>
                  <v:path arrowok="t" textboxrect="0,0,77978,28194"/>
                </v:shape>
                <v:shape id="Shape 624" o:spid="_x0000_s1052" style="position:absolute;left:34733;top:11355;width:774;height:247;visibility:visible;mso-wrap-style:square;v-text-anchor:top" coordsize="77470,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sIA&#10;AADbAAAADwAAAGRycy9kb3ducmV2LnhtbESP0WoCMRRE3wX/IVzBN82uYJXVKKIU7Eux6gdcNtfd&#10;6OZmSVJ3+/dNQejjMDNnmPW2t414kg/GsYJ8moEgLp02XCm4Xt4nSxAhImtsHJOCHwqw3QwHayy0&#10;6/iLnudYiQThUKCCOsa2kDKUNVkMU9cSJ+/mvMWYpK+k9tgluG3kLMvepEXDaaHGlvY1lY/zt1Xw&#10;sTjsTt0h5MbP78Y/jmTy7FOp8ajfrUBE6uN/+NU+agWzBfx9S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4n+wgAAANsAAAAPAAAAAAAAAAAAAAAAAJgCAABkcnMvZG93&#10;bnJldi54bWxQSwUGAAAAAAQABAD1AAAAhwMAAAAA&#10;" path="m76200,r1270,19050l54102,20574,12192,23876,1778,24765,,5842,10668,4826,52832,1524,76200,xe" fillcolor="#4f81bd" stroked="f" strokeweight="0">
                  <v:stroke miterlimit="83231f" joinstyle="miter"/>
                  <v:path arrowok="t" textboxrect="0,0,77470,24765"/>
                </v:shape>
                <v:shape id="Shape 625" o:spid="_x0000_s1053" style="position:absolute;left:36068;top:11297;width:768;height:216;visibility:visible;mso-wrap-style:square;v-text-anchor:top" coordsize="76835,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X8L8A&#10;AADbAAAADwAAAGRycy9kb3ducmV2LnhtbERPzYrCMBC+C75DGMGbpgrK0jWKCIIgLm71AYZmtqk2&#10;k5Kktb795rCwx4/vf7MbbCN68qF2rGAxz0AQl07XXCm4346zDxAhImtsHJOCNwXYbcejDebavfib&#10;+iJWIoVwyFGBibHNpQylIYth7lrixP04bzEm6CupPb5SuG3kMsvW0mLNqcFgSwdD5bPorIKVLQ6X&#10;4+3RnW1fXTvnyewfX0pNJ8P+E0SkIf6L/9wnrWCZxqYv6Qf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W5fwvwAAANsAAAAPAAAAAAAAAAAAAAAAAJgCAABkcnMvZG93bnJl&#10;di54bWxQSwUGAAAAAAQABAD1AAAAhAMAAAAA&#10;" path="m76327,r508,19050l48387,19812,5461,21336,889,21590,,2540,4826,2286,48006,762,76327,xe" fillcolor="#4f81bd" stroked="f" strokeweight="0">
                  <v:stroke miterlimit="83231f" joinstyle="miter"/>
                  <v:path arrowok="t" textboxrect="0,0,76835,21590"/>
                </v:shape>
                <v:shape id="Shape 626" o:spid="_x0000_s1054" style="position:absolute;left:37404;top:11271;width:767;height:208;visibility:visible;mso-wrap-style:square;v-text-anchor:top" coordsize="76708,20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zKMUA&#10;AADbAAAADwAAAGRycy9kb3ducmV2LnhtbESPzWsCMRTE70L/h/AKXkSzehC7mpV+CQVP2h7W23Pz&#10;9oNuXpYkrtv+9Y0g9DjMzG+YzXYwrejJ+caygvksAUFcWN1wpeDrczddgfABWWNrmRT8kIdt9jDa&#10;YKrtlQ/UH0MlIoR9igrqELpUSl/UZNDPbEccvdI6gyFKV0nt8BrhppWLJFlKgw3HhRo7eq2p+D5e&#10;jILisH8/5fT2O7nM5UteLs+uZ6fU+HF4XoMINIT/8L39oRUsnuD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MoxQAAANsAAAAPAAAAAAAAAAAAAAAAAJgCAABkcnMv&#10;ZG93bnJldi54bWxQSwUGAAAAAAQABAD1AAAAigMAAAAA&#10;" path="m75946,r762,19050l44323,20193,762,20827r-508,l,1777r635,l43561,1270,75946,xe" fillcolor="#4f81bd" stroked="f" strokeweight="0">
                  <v:stroke miterlimit="83231f" joinstyle="miter"/>
                  <v:path arrowok="t" textboxrect="0,0,76708,20827"/>
                </v:shape>
                <v:shape id="Shape 627" o:spid="_x0000_s1055" style="position:absolute;left:38729;top:11164;width:776;height:263;visibility:visible;mso-wrap-style:square;v-text-anchor:top" coordsize="77597,2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ncIA&#10;AADbAAAADwAAAGRycy9kb3ducmV2LnhtbERPS2vCQBC+F/wPywje6sYKpURXER8gpdA2CuJt2B2T&#10;YHY2ZKea9td3D4UeP773fNn7Rt2oi3VgA5NxBorYBldzaeB42D2+gIqC7LAJTAa+KcJyMXiYY+7C&#10;nT/pVkipUgjHHA1UIm2udbQVeYzj0BIn7hI6j5JgV2rX4T2F+0Y/Zdmz9lhzaqiwpXVF9lp8eQPv&#10;rydbyH73o+WjP69P27d2Q9aY0bBfzUAJ9fIv/nPvnYFpWp++pB+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H+dwgAAANsAAAAPAAAAAAAAAAAAAAAAAJgCAABkcnMvZG93&#10;bnJldi54bWxQSwUGAAAAAAQABAD1AAAAhwMAAAAA&#10;" path="m75565,r2032,18923l41529,22987,1524,26289,,7366,39370,4064,75565,xe" fillcolor="#4f81bd" stroked="f" strokeweight="0">
                  <v:stroke miterlimit="83231f" joinstyle="miter"/>
                  <v:path arrowok="t" textboxrect="0,0,77597,26289"/>
                </v:shape>
                <v:shape id="Shape 628" o:spid="_x0000_s1056" style="position:absolute;left:40046;top:10961;width:785;height:315;visibility:visible;mso-wrap-style:square;v-text-anchor:top" coordsize="78486,3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1yMMA&#10;AADbAAAADwAAAGRycy9kb3ducmV2LnhtbESPQYvCMBSE78L+h/AWvK2piiLVKLIgCuKqVQ/eHs3b&#10;tti8lCba+u83woLHYWa+YWaL1pTiQbUrLCvo9yIQxKnVBWcKzqfV1wSE88gaS8uk4EkOFvOPzgxj&#10;bRs+0iPxmQgQdjEqyL2vYildmpNB17MVcfB+bW3QB1lnUtfYBLgp5SCKxtJgwWEhx4q+c0pvyd0o&#10;uIz2P2Z59Udq7P1wWye7dr/VSnU/2+UUhKfWv8P/7Y1WMOz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1yMMAAADbAAAADwAAAAAAAAAAAAAAAACYAgAAZHJzL2Rv&#10;d25yZXYueG1sUEsFBgAAAAAEAAQA9QAAAIgDAAAAAA==&#10;" path="m74676,r3810,18669l77470,18796,36322,26289,3048,31496,,12700,32893,7620,73533,253,74676,xe" fillcolor="#4f81bd" stroked="f" strokeweight="0">
                  <v:stroke miterlimit="83231f" joinstyle="miter"/>
                  <v:path arrowok="t" textboxrect="0,0,78486,31496"/>
                </v:shape>
                <v:shape id="Shape 629" o:spid="_x0000_s1057" style="position:absolute;left:41351;top:10657;width:785;height:371;visibility:visible;mso-wrap-style:square;v-text-anchor:top" coordsize="78486,3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GPcQA&#10;AADbAAAADwAAAGRycy9kb3ducmV2LnhtbESPQWsCMRSE7wX/Q3iCl6JZbRVZjSKC0BYKunrx9tw8&#10;d1c3L2GT6vrvm0LB4zAz3zDzZWtqcaPGV5YVDAcJCOLc6ooLBYf9pj8F4QOyxtoyKXiQh+Wi8zLH&#10;VNs77+iWhUJECPsUFZQhuFRKn5dk0A+sI47e2TYGQ5RNIXWD9wg3tRwlyUQarDgulOhoXVJ+zX6M&#10;AtpdtLuc3sdbmegHfa8+v9zrUalet13NQARqwzP83/7QCt5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Bj3EAAAA2wAAAA8AAAAAAAAAAAAAAAAAmAIAAGRycy9k&#10;b3ducmV2LnhtbFBLBQYAAAAABAAEAPUAAACJAwAAAAA=&#10;" path="m73406,r5080,18288l66040,21844,27178,31750,4191,37084,,18415,22479,13335,60833,3429,73406,xe" fillcolor="#4f81bd" stroked="f" strokeweight="0">
                  <v:stroke miterlimit="83231f" joinstyle="miter"/>
                  <v:path arrowok="t" textboxrect="0,0,78486,37084"/>
                </v:shape>
                <v:shape id="Shape 630" o:spid="_x0000_s1058" style="position:absolute;left:42631;top:10248;width:781;height:430;visibility:visible;mso-wrap-style:square;v-text-anchor:top" coordsize="781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jwsMA&#10;AADbAAAADwAAAGRycy9kb3ducmV2LnhtbESP0WoCMRRE3wv+Q7iCbzVrhVK2RpEFqShtUfsB1811&#10;dzW5WZLorn/fFAo+DjNzhpktemvEjXxoHCuYjDMQxKXTDVcKfg6r5zcQISJrNI5JwZ0CLOaDpxnm&#10;2nW8o9s+ViJBOOSooI6xzaUMZU0Ww9i1xMk7OW8xJukrqT12CW6NfMmyV2mx4bRQY0tFTeVlf7UK&#10;/ObwYb6/Vme+4uS47dbF6dMUSo2G/fIdRKQ+PsL/7bVWMJ3C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jwsMAAADbAAAADwAAAAAAAAAAAAAAAACYAgAAZHJzL2Rv&#10;d25yZXYueG1sUEsFBgAAAAAEAAQA9QAAAIgDAAAAAA==&#10;" path="m71501,r6604,17907l48641,28701,12827,40767,5588,42925,,24764,6731,22733,42164,10795,71501,xe" fillcolor="#4f81bd" stroked="f" strokeweight="0">
                  <v:stroke miterlimit="83231f" joinstyle="miter"/>
                  <v:path arrowok="t" textboxrect="0,0,78105,42925"/>
                </v:shape>
                <v:shape id="Shape 631" o:spid="_x0000_s1059" style="position:absolute;left:43870;top:9712;width:770;height:498;visibility:visible;mso-wrap-style:square;v-text-anchor:top" coordsize="76962,4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mAcYA&#10;AADbAAAADwAAAGRycy9kb3ducmV2LnhtbESPQWvCQBSE70L/w/IKvUizaZUiqauEouihHjRS6O2R&#10;fSYx2bchu8bYX98tCD0OM/MNM18OphE9da6yrOAlikEQ51ZXXCg4ZuvnGQjnkTU2lknBjRwsFw+j&#10;OSbaXnlP/cEXIkDYJaig9L5NpHR5SQZdZFvi4J1sZ9AH2RVSd3gNcNPI1zh+kwYrDgsltvRRUl4f&#10;LkbBObVxP/6p0/2m/v5a7TL/md20Uk+PQ/oOwtPg/8P39lYrmEzh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xmAcYAAADbAAAADwAAAAAAAAAAAAAAAACYAgAAZHJz&#10;L2Rvd25yZXYueG1sUEsFBgAAAAAEAAQA9QAAAIsDAAAAAA==&#10;" path="m68199,r8763,16891l55372,27940,24765,42418,7620,49784,,32385,16637,25146,46736,11049,68199,xe" fillcolor="#4f81bd" stroked="f" strokeweight="0">
                  <v:stroke miterlimit="83231f" joinstyle="miter"/>
                  <v:path arrowok="t" textboxrect="0,0,76962,49784"/>
                </v:shape>
                <v:shape id="Shape 632" o:spid="_x0000_s1060" style="position:absolute;left:45044;top:9003;width:733;height:593;visibility:visible;mso-wrap-style:square;v-text-anchor:top" coordsize="73279,5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OB8QA&#10;AADbAAAADwAAAGRycy9kb3ducmV2LnhtbESPT2vCQBTE74LfYXmCF6kbldgSXcX+keYm2h56fGSf&#10;STD7NmY3MX77rlDocZiZ3zDrbW8q0VHjSssKZtMIBHFmdcm5gu+v/dMLCOeRNVaWScGdHGw3w8Ea&#10;E21vfKTu5HMRIOwSVFB4XydSuqwgg25qa+LgnW1j0AfZ5FI3eAtwU8l5FC2lwZLDQoE1vRWUXU6t&#10;CZTPy8/rR3Tg90m8JHm+ts9pTUqNR/1uBcJT7//Df+1UK1jE8Pg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TgfEAAAA2wAAAA8AAAAAAAAAAAAAAAAAmAIAAGRycy9k&#10;b3ducmV2LnhtbFBLBQYAAAAABAAEAPUAAACJAwAAAAA=&#10;" path="m60960,l73279,14478r-6223,5335l44704,36450,20574,52705,9906,59310,,43053,9906,36957,33274,21210,54737,5207,60960,xe" fillcolor="#4f81bd" stroked="f" strokeweight="0">
                  <v:stroke miterlimit="83231f" joinstyle="miter"/>
                  <v:path arrowok="t" textboxrect="0,0,73279,59310"/>
                </v:shape>
                <v:shape id="Shape 633" o:spid="_x0000_s1061" style="position:absolute;left:46059;top:8012;width:572;height:735;visibility:visible;mso-wrap-style:square;v-text-anchor:top" coordsize="57277,7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Fb3sMA&#10;AADbAAAADwAAAGRycy9kb3ducmV2LnhtbESPT4vCMBTE78J+h/AEb5q6ikjXtCyCouLFP3t/NG/b&#10;0ualNLHW/fQbQfA4zMxvmFXam1p01LrSsoLpJAJBnFldcq7getmMlyCcR9ZYWyYFD3KQJh+DFcba&#10;3vlE3dnnIkDYxaig8L6JpXRZQQbdxDbEwfu1rUEfZJtL3eI9wE0tP6NoIQ2WHBYKbGhdUFadb0bB&#10;cXv9yefzbsP2L1tWh0u13u0rpUbD/vsLhKfev8Ov9k4rmC3g+S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Fb3sMAAADbAAAADwAAAAAAAAAAAAAAAACYAgAAZHJzL2Rv&#10;d25yZXYueG1sUEsFBgAAAAAEAAQA9QAAAIgDAAAAAA==&#10;" path="m39751,l57277,7239r-1651,4064l51308,20701r-5080,9398l40767,39243r-6223,9271l20574,66422r-6477,7112l,60579,5461,54737,18796,37847r5588,-8383l29464,20955r4572,-8382l37973,4064,39751,xe" fillcolor="#4f81bd" stroked="f" strokeweight="0">
                  <v:stroke miterlimit="83231f" joinstyle="miter"/>
                  <v:path arrowok="t" textboxrect="0,0,57277,73534"/>
                </v:shape>
                <v:shape id="Shape 634" o:spid="_x0000_s1062" style="position:absolute;left:46483;top:6717;width:256;height:774;visibility:visible;mso-wrap-style:square;v-text-anchor:top" coordsize="25654,7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uM8QA&#10;AADbAAAADwAAAGRycy9kb3ducmV2LnhtbESPT4vCMBTE78J+h/AWvMiaqmCla5RlUejRPyvs8dE8&#10;22LzUptYq5/eCILHYWZ+w8yXnalES40rLSsYDSMQxJnVJecK/vbrrxkI55E1VpZJwY0cLBcfvTkm&#10;2l55S+3O5yJA2CWooPC+TqR0WUEG3dDWxME72sagD7LJpW7wGuCmkuMomkqDJYeFAmv6LSg77S5G&#10;wWxwnxza9EybdHNeGYoPt/R/pFT/s/v5BuGp8+/wq51qBZ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PLjPEAAAA2wAAAA8AAAAAAAAAAAAAAAAAmAIAAGRycy9k&#10;b3ducmV2LnhtbFBLBQYAAAAABAAEAPUAAACJAwAAAAA=&#10;" path="m18796,r1651,10541l22733,28575r1651,18162l25400,65025r254,12191l6604,77470,6477,66040,5461,48514,3810,30862,1651,13463,,3049,18796,xe" fillcolor="#4f81bd" stroked="f" strokeweight="0">
                  <v:stroke miterlimit="83231f" joinstyle="miter"/>
                  <v:path arrowok="t" textboxrect="0,0,25654,77470"/>
                </v:shape>
                <v:shape id="Shape 635" o:spid="_x0000_s1063" style="position:absolute;left:46118;top:5415;width:431;height:781;visibility:visible;mso-wrap-style:square;v-text-anchor:top" coordsize="43053,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ga8AA&#10;AADbAAAADwAAAGRycy9kb3ducmV2LnhtbERPyWrDMBC9F/oPYgq5NXITWowbxRRDs92yHJLbYE29&#10;1BoZS/Hy99Uh0OPj7at0NI3oqXOVZQVv8wgEcW51xYWCy/n7NQbhPLLGxjIpmMhBun5+WmGi7cBH&#10;6k++ECGEXYIKSu/bREqXl2TQzW1LHLgf2xn0AXaF1B0OIdw0chFFH9JgxaGhxJaykvLf090oaGqz&#10;uR3iyxWP+1hu6zGj93xSavYyfn2C8DT6f/HDvdMKlmFs+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tga8AAAADbAAAADwAAAAAAAAAAAAAAAACYAgAAZHJzL2Rvd25y&#10;ZXYueG1sUEsFBgAAAAAEAAQA9QAAAIUDAAAAAA==&#10;" path="m17272,r1905,4064l31623,36323,42164,69977r889,3684l24511,78105r-508,-2413l13843,43180,1778,12065,,8001,17272,xe" fillcolor="#4f81bd" stroked="f" strokeweight="0">
                  <v:stroke miterlimit="83231f" joinstyle="miter"/>
                  <v:path arrowok="t" textboxrect="0,0,43053,78105"/>
                </v:shape>
                <v:shape id="Shape 636" o:spid="_x0000_s1064" style="position:absolute;left:45430;top:4265;width:601;height:726;visibility:visible;mso-wrap-style:square;v-text-anchor:top" coordsize="60071,7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JcQA&#10;AADbAAAADwAAAGRycy9kb3ducmV2LnhtbESP3WrCQBSE7wu+w3IE7+rGKGKjqxRtwSII/vT+mD1N&#10;UrNnQ3abxLfvCoKXw8x8wyxWnSlFQ7UrLCsYDSMQxKnVBWcKzqfP1xkI55E1lpZJwY0crJa9lwUm&#10;2rZ8oOboMxEg7BJUkHtfJVK6NCeDbmgr4uD92NqgD7LOpK6xDXBTyjiKptJgwWEhx4rWOaXX458J&#10;lH10aL53+HHebH+/Wr+J15NLrNSg373PQXjq/DP8aG+1gvEb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1cyXEAAAA2wAAAA8AAAAAAAAAAAAAAAAAmAIAAGRycy9k&#10;b3ducmV2LnhtbFBLBQYAAAAABAAEAPUAAACJAwAAAAA=&#10;" path="m14224,r8382,9525l32004,21210r9017,12191l49784,46482r8382,13335l60071,63373,43434,72517,42037,69977,33909,57023,25781,44831,17145,33148,8382,22098,,12700,14224,xe" fillcolor="#4f81bd" stroked="f" strokeweight="0">
                  <v:stroke miterlimit="83231f" joinstyle="miter"/>
                  <v:path arrowok="t" textboxrect="0,0,60071,72517"/>
                </v:shape>
                <v:shape id="Shape 637" o:spid="_x0000_s1065" style="position:absolute;left:44354;top:3622;width:769;height:414;visibility:visible;mso-wrap-style:square;v-text-anchor:top" coordsize="76835,4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e5MIA&#10;AADbAAAADwAAAGRycy9kb3ducmV2LnhtbERPTU8CMRC9k/AfmiHxQqSrUWJWCgESUE+GhYTrZDtu&#10;F7bT2lZY/fX2YOLx5X3PFr3txIVCbB0ruJsUIIhrp1tuFBz2m9snEDEha+wck4JvirCYDwczLLW7&#10;8o4uVWpEDuFYogKTki+ljLUhi3HiPHHmPlywmDIMjdQBrzncdvK+KKbSYsu5waCntaH6XH1ZBcfV&#10;6dGbbdi9+7fPn35b0YvvxkrdjPrlM4hEffoX/7lftYKHvD5/y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B7kwgAAANsAAAAPAAAAAAAAAAAAAAAAAJgCAABkcnMvZG93&#10;bnJldi54bWxQSwUGAAAAAAQABAD1AAAAhwMAAAAA&#10;" path="m1016,l11684,508,23368,2287,34925,5080,46355,9017r11176,5081l68580,20066r8255,5208l66548,41402,59436,36830,49657,31497,40005,27051,30226,23623,20447,21082,10668,19558,,18924,1016,xe" fillcolor="#4f81bd" stroked="f" strokeweight="0">
                  <v:stroke miterlimit="83231f" joinstyle="miter"/>
                  <v:path arrowok="t" textboxrect="0,0,76835,41402"/>
                </v:shape>
                <v:shape id="Shape 638" o:spid="_x0000_s1066" style="position:absolute;left:28224;top:44;width:16139;height:7344;visibility:visible;mso-wrap-style:square;v-text-anchor:top" coordsize="1613916,73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9MUA&#10;AADbAAAADwAAAGRycy9kb3ducmV2LnhtbESPT2vCQBTE74V+h+UVeqsbSxFJXUUD9o/QQ6MevD2z&#10;zySY9zZktxq/vVsQPA4z8xtmMuu5USfqfO3EwHCQgCIpnK2lNLBZL1/GoHxAsdg4IQMX8jCbPj5M&#10;MLXuLL90ykOpIkR8igaqENpUa19UxOgHriWJ3sF1jCHKrtS2w3OEc6Nfk2SkGWuJCxW2lFVUHPM/&#10;NvC9+9julztebBbZ8bNdc8Y/q9yY56d+/g4qUB/u4Vv7yxp4G8L/l/gD9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T0xQAAANsAAAAPAAAAAAAAAAAAAAAAAJgCAABkcnMv&#10;ZG93bnJldi54bWxQSwUGAAAAAAQABAD1AAAAigMAAAAA&#10;" path="m122428,l1491488,v67691,,122428,54864,122428,122428l1613916,612013v,67564,-54737,122428,-122428,122428l122428,734441c54737,734441,,679577,,612013l,122428c,54864,54737,,122428,xe" fillcolor="#254061" stroked="f" strokeweight="0">
                  <v:stroke miterlimit="83231f" joinstyle="miter"/>
                  <v:path arrowok="t" textboxrect="0,0,1613916,734441"/>
                </v:shape>
                <v:rect id="Rectangle 641" o:spid="_x0000_s1067" style="position:absolute;left:31515;top:2983;width:127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3013A" w:rsidRDefault="00B3013A" w:rsidP="00006DD5">
                        <w:pPr>
                          <w:spacing w:after="160" w:line="259" w:lineRule="auto"/>
                        </w:pPr>
                        <w:r>
                          <w:rPr>
                            <w:color w:val="FFFFFF"/>
                            <w:sz w:val="32"/>
                          </w:rPr>
                          <w:t>Pojišťovna</w:t>
                        </w:r>
                      </w:p>
                    </w:txbxContent>
                  </v:textbox>
                </v:rect>
                <v:rect id="Rectangle 642" o:spid="_x0000_s1068" style="position:absolute;left:41092;top:2622;width:754;height:3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3013A" w:rsidRDefault="00B3013A" w:rsidP="00006DD5">
                        <w:pPr>
                          <w:spacing w:after="160" w:line="259" w:lineRule="auto"/>
                        </w:pPr>
                        <w:r>
                          <w:rPr>
                            <w:color w:val="FFFFFF"/>
                            <w:sz w:val="32"/>
                          </w:rPr>
                          <w:t xml:space="preserve"> </w:t>
                        </w:r>
                      </w:p>
                    </w:txbxContent>
                  </v:textbox>
                </v:rect>
                <v:rect id="Rectangle 645" o:spid="_x0000_s1069" style="position:absolute;left:12402;top:24559;width:1059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3013A" w:rsidRDefault="00B3013A" w:rsidP="00006DD5">
                        <w:pPr>
                          <w:spacing w:after="160" w:line="259" w:lineRule="auto"/>
                        </w:pPr>
                        <w:r>
                          <w:t>Platba za zboží</w:t>
                        </w:r>
                      </w:p>
                    </w:txbxContent>
                  </v:textbox>
                </v:rect>
                <v:rect id="Rectangle 647" o:spid="_x0000_s1070" style="position:absolute;left:21240;top:24482;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B3013A" w:rsidRDefault="00B3013A" w:rsidP="00006DD5">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 o:spid="_x0000_s1071" type="#_x0000_t75" style="position:absolute;left:15741;top:1261;width:8413;height:2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8XJ3GAAAA2wAAAA8AAABkcnMvZG93bnJldi54bWxEj0FrwkAUhO8F/8PyCr2I2diKaOoqYiko&#10;KqUasMdH9jUJZt+G7Dam/fWuIPQ4zMw3zGzRmUq01LjSsoJhFIMgzqwuOVeQHt8HExDOI2usLJOC&#10;X3KwmPceZphoe+FPag8+FwHCLkEFhfd1IqXLCjLoIlsTB+/bNgZ9kE0udYOXADeVfI7jsTRYclgo&#10;sKZVQdn58GMU9F++TtO3zX7F691f/eG3rk2ziVJPj93yFYSnzv+H7+21VjAaw+1L+AFyf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xcncYAAADbAAAADwAAAAAAAAAAAAAA&#10;AACfAgAAZHJzL2Rvd25yZXYueG1sUEsFBgAAAAAEAAQA9wAAAJIDAAAAAA==&#10;">
                  <v:imagedata r:id="rId10" o:title=""/>
                </v:shape>
                <v:rect id="Rectangle 650" o:spid="_x0000_s1072" style="position:absolute;left:16664;top:1494;width:724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B3013A" w:rsidRDefault="00B3013A" w:rsidP="00006DD5">
                        <w:pPr>
                          <w:spacing w:after="160" w:line="259" w:lineRule="auto"/>
                        </w:pPr>
                        <w:r>
                          <w:t>Smlouva</w:t>
                        </w:r>
                      </w:p>
                    </w:txbxContent>
                  </v:textbox>
                </v:rect>
                <v:rect id="Rectangle 651" o:spid="_x0000_s1073" style="position:absolute;left:22094;top:14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B3013A" w:rsidRDefault="00B3013A" w:rsidP="00006DD5">
                        <w:pPr>
                          <w:spacing w:after="160" w:line="259" w:lineRule="auto"/>
                        </w:pPr>
                        <w:r>
                          <w:t xml:space="preserve"> </w:t>
                        </w:r>
                      </w:p>
                    </w:txbxContent>
                  </v:textbox>
                </v:rect>
                <v:rect id="Rectangle 654" o:spid="_x0000_s1074" style="position:absolute;left:28009;top:9515;width:1270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3013A" w:rsidRDefault="00B3013A" w:rsidP="00006DD5">
                        <w:pPr>
                          <w:spacing w:after="160" w:line="259" w:lineRule="auto"/>
                        </w:pPr>
                        <w:r>
                          <w:t>Platba za zboží</w:t>
                        </w:r>
                      </w:p>
                    </w:txbxContent>
                  </v:textbox>
                </v:rect>
                <v:rect id="Rectangle 655" o:spid="_x0000_s1075" style="position:absolute;left:37552;top:926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3013A" w:rsidRDefault="00B3013A" w:rsidP="00006DD5">
                        <w:pPr>
                          <w:spacing w:after="160" w:line="259" w:lineRule="auto"/>
                        </w:pPr>
                        <w:r>
                          <w:t xml:space="preserve"> </w:t>
                        </w:r>
                      </w:p>
                    </w:txbxContent>
                  </v:textbox>
                </v:rect>
                <v:shape id="Shape 656" o:spid="_x0000_s1076" style="position:absolute;top:13879;width:12005;height:6735;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ossEA&#10;AADbAAAADwAAAGRycy9kb3ducmV2LnhtbESPzYrCQBCE78K+w9AL3nSioq5ZRxFBVvDkzwP0Ztok&#10;bKYnZFoT335HEDwWVfUVtVx3rlJ3akLp2cBomIAizrwtOTdwOe8GX6CCIFusPJOBBwVYrz56S0yt&#10;b/lI95PkKkI4pGigEKlTrUNWkMMw9DVx9K6+cShRNrm2DbYR7io9TpKZdlhyXCiwpm1B2d/p5gxQ&#10;myFNurk7HOWnne0W9veyFWP6n93mG5RQJ+/wq723BqYjeH6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qLLBAAAA2wAAAA8AAAAAAAAAAAAAAAAAmAIAAGRycy9kb3du&#10;cmV2LnhtbFBLBQYAAAAABAAEAPUAAACGAwAAAAA=&#10;" path="m112255,r976008,c1150239,,1200531,50292,1200531,112268r,448945c1200531,623189,1150239,673481,1088263,673481r-976008,c50254,673481,,623189,,561213l,112268c,50292,50254,,112255,xe" fillcolor="#953735" stroked="f" strokeweight="0">
                  <v:stroke miterlimit="83231f" joinstyle="miter"/>
                  <v:path arrowok="t" textboxrect="0,0,1200531,673481"/>
                </v:shape>
                <v:rect id="Rectangle 659" o:spid="_x0000_s1077" style="position:absolute;left:3189;top:16714;width:7557;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3013A" w:rsidRDefault="00B3013A" w:rsidP="00006DD5">
                        <w:pPr>
                          <w:spacing w:after="160" w:line="259" w:lineRule="auto"/>
                        </w:pPr>
                        <w:r>
                          <w:rPr>
                            <w:color w:val="FFFFFF"/>
                          </w:rPr>
                          <w:t>Importér</w:t>
                        </w:r>
                      </w:p>
                    </w:txbxContent>
                  </v:textbox>
                </v:rect>
                <v:rect id="Rectangle 660" o:spid="_x0000_s1078" style="position:absolute;left:8859;top:164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B3013A" w:rsidRDefault="00B3013A" w:rsidP="00006DD5">
                        <w:pPr>
                          <w:spacing w:after="160" w:line="259" w:lineRule="auto"/>
                        </w:pPr>
                        <w:r>
                          <w:rPr>
                            <w:color w:val="FFFFFF"/>
                          </w:rPr>
                          <w:t xml:space="preserve"> </w:t>
                        </w:r>
                      </w:p>
                    </w:txbxContent>
                  </v:textbox>
                </v:rect>
                <v:shape id="Shape 661" o:spid="_x0000_s1079" style="position:absolute;left:22181;top:13641;width:12006;height:6734;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N8UA&#10;AADbAAAADwAAAGRycy9kb3ducmV2LnhtbESPT2sCMRTE74V+h/AKvdWsolW3RhGlUvXkH+z1sXnu&#10;Lrt5WZOo229vCoUeh5n5DTOZtaYWN3K+tKyg20lAEGdWl5wrOB4+30YgfEDWWFsmBT/kYTZ9fppg&#10;qu2dd3Tbh1xECPsUFRQhNKmUPivIoO/Yhjh6Z+sMhihdLrXDe4SbWvaS5F0aLDkuFNjQoqCs2l+N&#10;Aj/ebnbV99Ilp7X1w+rSWy2vJ6VeX9r5B4hAbfgP/7W/tIJBH3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w3xQAAANsAAAAPAAAAAAAAAAAAAAAAAJgCAABkcnMv&#10;ZG93bnJldi54bWxQSwUGAAAAAAQABAD1AAAAigMAAAAA&#10;" path="m112268,r975995,c1150239,,1200531,50292,1200531,112268r,448945c1200531,623316,1150239,673481,1088263,673481r-975995,c50292,673481,,623316,,561213l,112268c,50292,50292,,112268,xe" fillcolor="#77933c" stroked="f" strokeweight="0">
                  <v:stroke miterlimit="83231f" joinstyle="miter"/>
                  <v:path arrowok="t" textboxrect="0,0,1200531,673481"/>
                </v:shape>
                <v:rect id="Rectangle 664" o:spid="_x0000_s1080" style="position:absolute;left:23862;top:16201;width:1150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3013A" w:rsidRDefault="00B3013A" w:rsidP="00006DD5">
                        <w:pPr>
                          <w:spacing w:after="160" w:line="259" w:lineRule="auto"/>
                        </w:pPr>
                        <w:r>
                          <w:rPr>
                            <w:color w:val="FFFFFF"/>
                          </w:rPr>
                          <w:t>Poskytovatel</w:t>
                        </w:r>
                      </w:p>
                    </w:txbxContent>
                  </v:textbox>
                </v:rect>
                <v:rect id="Rectangle 665" o:spid="_x0000_s1081" style="position:absolute;left:32490;top:162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3013A" w:rsidRDefault="00B3013A" w:rsidP="00006DD5">
                        <w:pPr>
                          <w:spacing w:after="160" w:line="259" w:lineRule="auto"/>
                        </w:pPr>
                        <w:r>
                          <w:rPr>
                            <w:color w:val="FFFFFF"/>
                          </w:rPr>
                          <w:t xml:space="preserve"> </w:t>
                        </w:r>
                      </w:p>
                    </w:txbxContent>
                  </v:textbox>
                </v:rect>
                <v:shape id="Shape 666" o:spid="_x0000_s1082" style="position:absolute;left:44363;top:13641;width:12005;height:6734;visibility:visible;mso-wrap-style:square;v-text-anchor:top" coordsize="1200531,67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cAccA&#10;AADbAAAADwAAAGRycy9kb3ducmV2LnhtbESPT2sCMRTE74LfITzBS6lZha1laxQV/NMWCtUe2ttj&#10;87pZ3Lwsm6irn94UCh6HmfkNM5m1thInanzpWMFwkIAgzp0uuVDwtV89PoPwAVlj5ZgUXMjDbNrt&#10;TDDT7syfdNqFQkQI+wwVmBDqTEqfG7LoB64mjt6vayyGKJtC6gbPEW4rOUqSJ2mx5LhgsKalofyw&#10;O1oFi/Tj3V/2P+PX1fdbel0bM3/YGKX6vXb+AiJQG+7h//ZWK0jH8Pcl/gA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GnAHHAAAA2wAAAA8AAAAAAAAAAAAAAAAAmAIAAGRy&#10;cy9kb3ducmV2LnhtbFBLBQYAAAAABAAEAPUAAACMAwAAAAA=&#10;" path="m112268,r975995,c1150239,,1200531,50292,1200531,112268r,448945c1200531,623316,1150239,673481,1088263,673481r-975995,c50292,673481,,623316,,561213l,112268c,50292,50292,,112268,xe" fillcolor="#e46c0a" stroked="f" strokeweight="0">
                  <v:stroke miterlimit="83231f" joinstyle="miter"/>
                  <v:path arrowok="t" textboxrect="0,0,1200531,673481"/>
                </v:shape>
                <v:rect id="Rectangle 669" o:spid="_x0000_s1083" style="position:absolute;left:46852;top:16471;width:935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3013A" w:rsidRDefault="00B3013A" w:rsidP="00006DD5">
                        <w:pPr>
                          <w:spacing w:after="160" w:line="259" w:lineRule="auto"/>
                        </w:pPr>
                        <w:r>
                          <w:rPr>
                            <w:color w:val="FFFFFF"/>
                          </w:rPr>
                          <w:t>Pojištěnec</w:t>
                        </w:r>
                      </w:p>
                    </w:txbxContent>
                  </v:textbox>
                </v:rect>
                <v:rect id="Rectangle 670" o:spid="_x0000_s1084" style="position:absolute;left:53896;top:162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3013A" w:rsidRDefault="00B3013A" w:rsidP="00006DD5">
                        <w:pPr>
                          <w:spacing w:after="160" w:line="259" w:lineRule="auto"/>
                        </w:pPr>
                        <w:r>
                          <w:rPr>
                            <w:color w:val="FFFFFF"/>
                          </w:rPr>
                          <w:t xml:space="preserve"> </w:t>
                        </w:r>
                      </w:p>
                    </w:txbxContent>
                  </v:textbox>
                </v:rect>
                <v:shape id="Shape 671" o:spid="_x0000_s1085" style="position:absolute;left:12402;top:14118;width:9462;height:5248;visibility:visible;mso-wrap-style:square;v-text-anchor:top" coordsize="946150,52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Id8AA&#10;AADbAAAADwAAAGRycy9kb3ducmV2LnhtbERPy2oCMRTdF/yHcAV3nYwFpUyNUgpCcae1DN3dTq7J&#10;0MnNkGQe/n2zKHR5OO/dYXadGCnE1rOCdVGCIG68btkouH4cH59BxISssfNMCu4U4bBfPOyw0n7i&#10;M42XZEQO4VihAptSX0kZG0sOY+F74szdfHCYMgxG6oBTDnedfCrLrXTYcm6w2NObpebnMjgFqf6+&#10;nr5Og9nUt2Fy5pPC6AelVsv59QVEojn9i//c71rBNq/PX/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wId8AAAADbAAAADwAAAAAAAAAAAAAAAACYAgAAZHJzL2Rvd25y&#10;ZXYueG1sUEsFBgAAAAAEAAQA9QAAAIUDAAAAAA==&#10;" path="m740664,l946150,262382,740664,524764r,-83566l,441198,,83566r740664,l740664,xe" fillcolor="#4f81bd" stroked="f" strokeweight="0">
                  <v:stroke miterlimit="83231f" joinstyle="miter"/>
                  <v:path arrowok="t" textboxrect="0,0,946150,524764"/>
                </v:shape>
                <v:shape id="Picture 673" o:spid="_x0000_s1086" type="#_x0000_t75" style="position:absolute;left:12541;top:15525;width:780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gvaHAAAAA2wAAAA8AAABkcnMvZG93bnJldi54bWxEj0GLwjAUhO8L/ofwBG9rqgdxq1FUEAVP&#10;uoLXR/Jsi81LbaKt/nojCB6HmfmGmc5bW4o71b5wrGDQT0AQa2cKzhQc/9e/YxA+IBssHZOCB3mY&#10;zzo/U0yNa3hP90PIRISwT1FBHkKVSul1ThZ931XE0Tu72mKIss6kqbGJcFvKYZKMpMWC40KOFa1y&#10;0pfDzSrYXU3Qf+352fjkRFI/9ps1LpXqddvFBESgNnzDn/bWKBgN4P0l/gA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eC9ocAAAADbAAAADwAAAAAAAAAAAAAAAACfAgAA&#10;ZHJzL2Rvd25yZXYueG1sUEsFBgAAAAAEAAQA9wAAAIwDAAAAAA==&#10;">
                  <v:imagedata r:id="rId11" o:title=""/>
                </v:shape>
                <v:rect id="Rectangle 674" o:spid="_x0000_s1087" style="position:absolute;left:13525;top:16360;width:7702;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3013A" w:rsidRDefault="00B3013A" w:rsidP="00006DD5">
                        <w:pPr>
                          <w:spacing w:after="160" w:line="259" w:lineRule="auto"/>
                        </w:pPr>
                        <w:r>
                          <w:rPr>
                            <w:color w:val="FFFFFF"/>
                            <w:sz w:val="16"/>
                          </w:rPr>
                          <w:t>dodání zboží</w:t>
                        </w:r>
                      </w:p>
                    </w:txbxContent>
                  </v:textbox>
                </v:rect>
                <v:rect id="Rectangle 675" o:spid="_x0000_s1088" style="position:absolute;left:19350;top:16182;width:372;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3013A" w:rsidRDefault="00B3013A" w:rsidP="00006DD5">
                        <w:pPr>
                          <w:spacing w:after="160" w:line="259" w:lineRule="auto"/>
                        </w:pPr>
                        <w:r>
                          <w:rPr>
                            <w:color w:val="FFFFFF"/>
                            <w:sz w:val="16"/>
                          </w:rPr>
                          <w:t xml:space="preserve"> </w:t>
                        </w:r>
                      </w:p>
                    </w:txbxContent>
                  </v:textbox>
                </v:rect>
                <v:shape id="Shape 676" o:spid="_x0000_s1089" style="position:absolute;left:34601;top:14382;width:9455;height:5245;visibility:visible;mso-wrap-style:square;v-text-anchor:top" coordsize="945515,52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NUcEA&#10;AADcAAAADwAAAGRycy9kb3ducmV2LnhtbERPTYvCMBC9C/6HMII3TVeqLl2j7AoFwYtWDx6HZmzr&#10;NpOSRO3++81B8Ph436tNb1rxIOcbywo+pgkI4tLqhisF51M++QThA7LG1jIp+CMPm/VwsMJM2ycf&#10;6VGESsQQ9hkqqEPoMil9WZNBP7UdceSu1hkMEbpKaofPGG5aOUuShTTYcGyosaNtTeVvcTcK8ou8&#10;n/P9T3tI3fxwu9hlJRd7pcaj/vsLRKA+vMUv904rSN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djVHBAAAA3AAAAA8AAAAAAAAAAAAAAAAAmAIAAGRycy9kb3du&#10;cmV2LnhtbFBLBQYAAAAABAAEAPUAAACGAwAAAAA=&#10;" path="m740156,l945515,262255,740156,524510r,-83566l,440944,,83566r740156,l740156,xe" fillcolor="#4f81bd" stroked="f" strokeweight="0">
                  <v:stroke miterlimit="83231f" joinstyle="miter"/>
                  <v:path arrowok="t" textboxrect="0,0,945515,524510"/>
                </v:shape>
                <v:rect id="Rectangle 677" o:spid="_x0000_s1090" style="position:absolute;left:35723;top:16665;width:7702;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B3013A" w:rsidRDefault="00B3013A" w:rsidP="00006DD5">
                        <w:pPr>
                          <w:spacing w:after="160" w:line="259" w:lineRule="auto"/>
                        </w:pPr>
                        <w:r>
                          <w:rPr>
                            <w:color w:val="FFFFFF"/>
                            <w:sz w:val="16"/>
                          </w:rPr>
                          <w:t>dodání zboží</w:t>
                        </w:r>
                      </w:p>
                    </w:txbxContent>
                  </v:textbox>
                </v:rect>
                <v:rect id="Rectangle 678" o:spid="_x0000_s1091" style="position:absolute;left:41549;top:16487;width:372;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B3013A" w:rsidRDefault="00B3013A" w:rsidP="00006DD5">
                        <w:pPr>
                          <w:spacing w:after="160" w:line="259" w:lineRule="auto"/>
                        </w:pPr>
                        <w:r>
                          <w:rPr>
                            <w:color w:val="FFFFFF"/>
                            <w:sz w:val="16"/>
                          </w:rPr>
                          <w:t xml:space="preserve"> </w:t>
                        </w:r>
                      </w:p>
                    </w:txbxContent>
                  </v:textbox>
                </v:rect>
                <v:shape id="Shape 679" o:spid="_x0000_s1092" style="position:absolute;left:25;width:12001;height:6731;visibility:visible;mso-wrap-style:square;v-text-anchor:top" coordsize="1200150,67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H5sMA&#10;AADcAAAADwAAAGRycy9kb3ducmV2LnhtbESPQWsCMRSE7wX/Q3iCt5pVt0VWo4iwIpQeqgWvj81z&#10;d3HzEjZR479vBKHHYWa+YZbraDpxo963lhVMxhkI4srqlmsFv8fyfQ7CB2SNnWVS8CAP69XgbYmF&#10;tnf+odsh1CJB2BeooAnBFVL6qiGDfmwdcfLOtjcYkuxrqXu8J7jp5DTLPqXBltNCg462DVWXw9Uo&#10;cC7uHjE/nWbHLLj2u9x/lbNcqdEwbhYgAsXwH36191pB/jGB5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bH5sMAAADcAAAADwAAAAAAAAAAAAAAAACYAgAAZHJzL2Rv&#10;d25yZXYueG1sUEsFBgAAAAAEAAQA9QAAAIgDAAAAAA==&#10;" path="m112192,r975817,c1149985,,1200150,50165,1200150,112140r,448819c1200150,622935,1149985,673100,1088009,673100r-975817,c50229,673100,,622935,,560959l,112140c,50165,50229,,112192,xe" fillcolor="#953735" stroked="f" strokeweight="0">
                  <v:stroke miterlimit="83231f" joinstyle="miter"/>
                  <v:path arrowok="t" textboxrect="0,0,1200150,673100"/>
                </v:shape>
                <v:rect id="Rectangle 680" o:spid="_x0000_s1093" style="position:absolute;left:3860;top:1928;width:632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B3013A" w:rsidRDefault="00B3013A" w:rsidP="00006DD5">
                        <w:pPr>
                          <w:spacing w:after="160" w:line="259" w:lineRule="auto"/>
                        </w:pPr>
                        <w:r>
                          <w:rPr>
                            <w:color w:val="FFFFFF"/>
                          </w:rPr>
                          <w:t xml:space="preserve">Držitel </w:t>
                        </w:r>
                      </w:p>
                    </w:txbxContent>
                  </v:textbox>
                </v:rect>
                <v:rect id="Rectangle 681" o:spid="_x0000_s1094" style="position:absolute;left:2668;top:3456;width:89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B3013A" w:rsidRDefault="00B3013A" w:rsidP="00006DD5">
                        <w:pPr>
                          <w:spacing w:after="160" w:line="259" w:lineRule="auto"/>
                        </w:pPr>
                        <w:r>
                          <w:rPr>
                            <w:color w:val="FFFFFF"/>
                          </w:rPr>
                          <w:t>registrace</w:t>
                        </w:r>
                      </w:p>
                    </w:txbxContent>
                  </v:textbox>
                </v:rect>
                <v:rect id="Rectangle 682" o:spid="_x0000_s1095" style="position:absolute;left:9347;top:34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B3013A" w:rsidRDefault="00B3013A" w:rsidP="00006DD5">
                        <w:pPr>
                          <w:spacing w:after="160" w:line="259" w:lineRule="auto"/>
                        </w:pPr>
                        <w:r>
                          <w:rPr>
                            <w:color w:val="FFFFFF"/>
                          </w:rPr>
                          <w:t xml:space="preserve"> </w:t>
                        </w:r>
                      </w:p>
                    </w:txbxContent>
                  </v:textbox>
                </v:rect>
                <v:rect id="Rectangle 683" o:spid="_x0000_s1096" style="position:absolute;left:13007;top:8383;width:530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B3013A" w:rsidRDefault="00B3013A" w:rsidP="00006DD5">
                        <w:pPr>
                          <w:spacing w:after="160" w:line="259" w:lineRule="auto"/>
                        </w:pPr>
                        <w:r>
                          <w:t>Bonus</w:t>
                        </w:r>
                      </w:p>
                    </w:txbxContent>
                  </v:textbox>
                </v:rect>
                <v:rect id="Rectangle 684" o:spid="_x0000_s1097" style="position:absolute;left:16969;top:83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B3013A" w:rsidRDefault="00B3013A" w:rsidP="00006DD5">
                        <w:pPr>
                          <w:spacing w:after="160" w:line="259" w:lineRule="auto"/>
                        </w:pPr>
                        <w:r>
                          <w:t xml:space="preserve"> </w:t>
                        </w:r>
                      </w:p>
                    </w:txbxContent>
                  </v:textbox>
                </v:rect>
                <v:shape id="Shape 686" o:spid="_x0000_s1098" style="position:absolute;left:5784;top:12119;width:587;height:1499;visibility:visible;mso-wrap-style:square;v-text-anchor:top" coordsize="58674,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pLMUA&#10;AADcAAAADwAAAGRycy9kb3ducmV2LnhtbESPT2sCMRTE7wW/Q3hCbzWr1VZWo4hgq0f/tHh8JK+7&#10;Szcva5Ku229vhEKPw8z8hpkvO1uLlnyoHCsYDjIQxNqZigsFp+PmaQoiRGSDtWNS8EsBlovewxxz&#10;4668p/YQC5EgHHJUUMbY5FIGXZLFMHANcfK+nLcYk/SFNB6vCW5rOcqyF2mx4rRQYkPrkvT34ccq&#10;uLx/+qbdnT/88/k43p10x/ptr9Rjv1vNQETq4n/4r701CsaTV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6ksxQAAANwAAAAPAAAAAAAAAAAAAAAAAJgCAABkcnMv&#10;ZG93bnJldi54bWxQSwUGAAAAAAQABAD1AAAAigMAAAAA&#10;" path="m41910,l58674,8890,46609,31496,31369,70993,26035,90424r-3810,19685l19812,129667r-762,20193l,149225,762,128905,3302,107823,7366,86868,13081,65913,28702,24638,41910,xe" fillcolor="#be4b48" stroked="f" strokeweight="0">
                  <v:stroke miterlimit="83231f" joinstyle="miter"/>
                  <v:path arrowok="t" textboxrect="0,0,58674,149860"/>
                </v:shape>
                <v:shape id="Shape 687" o:spid="_x0000_s1099" style="position:absolute;left:6512;top:10496;width:1177;height:1238;visibility:visible;mso-wrap-style:square;v-text-anchor:top" coordsize="117729,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5wsAA&#10;AADcAAAADwAAAGRycy9kb3ducmV2LnhtbERPS0vDQBC+C/6HZQQvYjYNtUrMppRCoQcv9nEfspMH&#10;yc6G7LSJ/949CB4/vnexXdyg7jSFzrOBVZKCIq687bgxcDkfXj9ABUG2OHgmAz8UYFs+PhSYWz/z&#10;N91P0qgYwiFHA63ImGsdqpYchsSPxJGr/eRQIpwabSecY7gbdJamG+2w49jQ4kj7lqr+dHMGri/H&#10;ul6t8Sa0e3fV2NtL9iXGPD8tu09QQov8i//cR2tg/RbXxjPxCO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65wsAAAADcAAAADwAAAAAAAAAAAAAAAACYAgAAZHJzL2Rvd25y&#10;ZXYueG1sUEsFBgAAAAAEAAQA9QAAAIUDAAAAAA==&#10;" path="m105029,r12700,14098l90170,38862,52959,77089,21209,115824r-5461,8001l,113030r5334,-7874l38354,65024,76581,25527,105029,xe" fillcolor="#be4b48" stroked="f" strokeweight="0">
                  <v:stroke miterlimit="83231f" joinstyle="miter"/>
                  <v:path arrowok="t" textboxrect="0,0,117729,123825"/>
                </v:shape>
                <v:shape id="Shape 688" o:spid="_x0000_s1100" style="position:absolute;left:8007;top:9255;width:1363;height:1021;visibility:visible;mso-wrap-style:square;v-text-anchor:top" coordsize="136271,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jkcUA&#10;AADcAAAADwAAAGRycy9kb3ducmV2LnhtbESPT2vCQBTE70K/w/IK3nRTqVJTVylCRRAPxpZen9nX&#10;JJh9G7Nr/nx7VxA8DjPzG2ax6kwpGqpdYVnB2zgCQZxaXXCm4Of4PfoA4TyyxtIyKejJwWr5Mlhg&#10;rG3LB2oSn4kAYRejgtz7KpbSpTkZdGNbEQfv39YGfZB1JnWNbYCbUk6iaCYNFhwWcqxonVN6Tq5G&#10;QfJbmdNp3/w1077ftXKyuczPG6WGr93XJwhPnX+GH+2tVvA+nc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WORxQAAANwAAAAPAAAAAAAAAAAAAAAAAJgCAABkcnMv&#10;ZG93bnJldi54bWxQSwUGAAAAAAQABAD1AAAAigMAAAAA&#10;" path="m125984,r10287,16128l81915,50926,30099,87630,11811,102108,,87249,18288,72644,70866,35306,125984,xe" fillcolor="#be4b48" stroked="f" strokeweight="0">
                  <v:stroke miterlimit="83231f" joinstyle="miter"/>
                  <v:path arrowok="t" textboxrect="0,0,136271,102108"/>
                </v:shape>
                <v:shape id="Shape 689" o:spid="_x0000_s1101" style="position:absolute;left:9765;top:8263;width:1442;height:867;visibility:visible;mso-wrap-style:square;v-text-anchor:top" coordsize="144272,86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qNMMA&#10;AADcAAAADwAAAGRycy9kb3ducmV2LnhtbERPz2vCMBS+D/wfwht4GZoqRWpnFB0TdhrUiudn89aU&#10;NS+libbur18Ogx0/vt+b3WhbcafeN44VLOYJCOLK6YZrBefyOMtA+ICssXVMCh7kYbedPG0w127g&#10;gu6nUIsYwj5HBSaELpfSV4Ys+rnriCP35XqLIcK+lrrHIYbbVi6TZCUtNhwbDHb0Zqj6Pt2sgkO5&#10;P1wvl5c0vKfromvPn5n5uSk1fR73ryACjeFf/Of+0ArSVZwf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qNMMAAADcAAAADwAAAAAAAAAAAAAAAACYAgAAZHJzL2Rv&#10;d25yZXYueG1sUEsFBgAAAAAEAAQA9QAAAIgDAAAAAA==&#10;" path="m136017,r8255,17145l87503,44703,22860,78867,9525,86613,,70231,13335,62484,78613,27813,136017,xe" fillcolor="#be4b48" stroked="f" strokeweight="0">
                  <v:stroke miterlimit="83231f" joinstyle="miter"/>
                  <v:path arrowok="t" textboxrect="0,0,144272,86613"/>
                </v:shape>
                <v:shape id="Shape 690" o:spid="_x0000_s1102" style="position:absolute;left:11647;top:7446;width:1483;height:754;visibility:visible;mso-wrap-style:square;v-text-anchor:top" coordsize="148336,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3JcQA&#10;AADcAAAADwAAAGRycy9kb3ducmV2LnhtbESP3WrCQBSE74W+w3IK3ukmolHSrFKEgghCtX2AY/bk&#10;h2bPprtbE9/eLRR6OczMN0yxG00nbuR8a1lBOk9AEJdWt1wr+Px4m21A+ICssbNMCu7kYbd9mhSY&#10;azvwmW6XUIsIYZ+jgiaEPpfSlw0Z9HPbE0evss5giNLVUjscItx0cpEkmTTYclxosKd9Q+XX5cco&#10;8GntxpPryuy8eq+G4/d1zdlaqenz+PoCItAY/sN/7YNWsMxS+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dyXEAAAA3AAAAA8AAAAAAAAAAAAAAAAAmAIAAGRycy9k&#10;b3ducmV2LnhtbFBLBQYAAAAABAAEAPUAAACJAwAAAAA=&#10;" path="m141605,r6731,17780l115316,30226,39751,61214,7874,75438,,58039,32004,43814,108077,12573,141605,xe" fillcolor="#be4b48" stroked="f" strokeweight="0">
                  <v:stroke miterlimit="83231f" joinstyle="miter"/>
                  <v:path arrowok="t" textboxrect="0,0,148336,75438"/>
                </v:shape>
                <v:shape id="Shape 691" o:spid="_x0000_s1103" style="position:absolute;left:13600;top:6762;width:1506;height:663;visibility:visible;mso-wrap-style:square;v-text-anchor:top" coordsize="150622,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UcIA&#10;AADcAAAADwAAAGRycy9kb3ducmV2LnhtbESP0YrCMBRE34X9h3AF3zRVRNyuUUSoyOqL3f2AS3Nt&#10;is1Nt4m1+/dGEHwcZuYMs9r0thYdtb5yrGA6SUAQF05XXCr4/cnGSxA+IGusHZOCf/KwWX8MVphq&#10;d+czdXkoRYSwT1GBCaFJpfSFIYt+4hri6F1cazFE2ZZSt3iPcFvLWZIspMWK44LBhnaGimt+swp2&#10;Orl12V/43E+NzubH/bc85ajUaNhvv0AE6sM7/GoftIL5Yg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n5RwgAAANwAAAAPAAAAAAAAAAAAAAAAAJgCAABkcnMvZG93&#10;bnJldi54bWxQSwUGAAAAAAQABAD1AAAAhwMAAAAA&#10;" path="m144780,r5842,18161l80518,40386,6223,66294,,48260,74295,22478,144780,xe" fillcolor="#be4b48" stroked="f" strokeweight="0">
                  <v:stroke miterlimit="83231f" joinstyle="miter"/>
                  <v:path arrowok="t" textboxrect="0,0,150622,66294"/>
                </v:shape>
                <v:shape id="Shape 692" o:spid="_x0000_s1104" style="position:absolute;left:15598;top:6196;width:1519;height:584;visibility:visible;mso-wrap-style:square;v-text-anchor:top" coordsize="151892,5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8zcgA&#10;AADcAAAADwAAAGRycy9kb3ducmV2LnhtbESPQWsCMRSE7wX/Q3iFXopmrVV0NUpbLKxFD9ri+bl5&#10;3V3cvGyTqNv++qZQ8DjMzDfMbNGaWpzJ+cqygn4vAUGcW11xoeDj/bU7BuEDssbaMin4Jg+Leedm&#10;hqm2F97SeRcKESHsU1RQhtCkUvq8JIO+Zxvi6H1aZzBE6QqpHV4i3NTyIUlG0mDFcaHEhl5Kyo+7&#10;k1HQTu5XP2+H5fGr2LhlPhxm+/VzptTdbfs0BRGoDdfwfzvTCh5HA/g7E4+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NPzNyAAAANwAAAAPAAAAAAAAAAAAAAAAAJgCAABk&#10;cnMvZG93bnJldi54bWxQSwUGAAAAAAQABAD1AAAAjQMAAAAA&#10;" path="m147447,r4445,18542l142494,20828,52705,44704,5334,58420,,40132,47371,26416,137541,2413,147447,xe" fillcolor="#be4b48" stroked="f" strokeweight="0">
                  <v:stroke miterlimit="83231f" joinstyle="miter"/>
                  <v:path arrowok="t" textboxrect="0,0,151892,58420"/>
                </v:shape>
                <v:shape id="Shape 693" o:spid="_x0000_s1105" style="position:absolute;left:17627;top:5736;width:1530;height:511;visibility:visible;mso-wrap-style:square;v-text-anchor:top" coordsize="153035,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TusUA&#10;AADcAAAADwAAAGRycy9kb3ducmV2LnhtbESPQWvCQBSE70L/w/IKvYjZVIKE6CpSqBWEglHvj+wz&#10;CWbfht2tRn+9Wyj0OMzMN8xiNZhOXMn51rKC9yQFQVxZ3XKt4Hj4nOQgfEDW2FkmBXfysFq+jBZY&#10;aHvjPV3LUIsIYV+ggiaEvpDSVw0Z9IntiaN3ts5giNLVUju8Rbjp5DRNZ9Jgy3GhwZ4+Gqou5Y9R&#10;sPdns/2elplZu/y0yx+b8Ve5UertdVjPQQQawn/4r73VCrJZBr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JO6xQAAANwAAAAPAAAAAAAAAAAAAAAAAJgCAABkcnMv&#10;ZG93bnJldi54bWxQSwUGAAAAAAQABAD1AAAAigMAAAAA&#10;" path="m149352,r3683,18669l125222,24130,31369,44577,4572,51054,,32512,26924,26035,121285,5461,149352,xe" fillcolor="#be4b48" stroked="f" strokeweight="0">
                  <v:stroke miterlimit="83231f" joinstyle="miter"/>
                  <v:path arrowok="t" textboxrect="0,0,153035,51054"/>
                </v:shape>
                <v:shape id="Shape 694" o:spid="_x0000_s1106" style="position:absolute;left:19682;top:5374;width:1535;height:440;visibility:visible;mso-wrap-style:square;v-text-anchor:top" coordsize="153543,4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O2sIA&#10;AADcAAAADwAAAGRycy9kb3ducmV2LnhtbESPUWsCMRCE3wX/Q1ihb5pTVOQ0ikgLIkLR9gcslzV3&#10;eNmcl1Wv/94UCn0cZuebndWm87V6UBurwAbGowwUcRFsxc7A99fHcAEqCrLFOjAZ+KEIm3W/t8Lc&#10;hief6HEWpxKEY44GSpEm1zoWJXmMo9AQJ+8SWo+SZOu0bfGZ4L7Wkyyba48Vp4YSG9qVVFzPd5/e&#10;wMnWLeRAjfDp/Xa8Z59ufDXmbdBtl6CEOvk//kvvrYHpfAa/YxIB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U7awgAAANwAAAAPAAAAAAAAAAAAAAAAAJgCAABkcnMvZG93&#10;bnJldi54bWxQSwUGAAAAAAQABAD1AAAAhwMAAAAA&#10;" path="m150749,r2794,18796l112903,24892,15621,41656,3683,43942,,25273,11938,22987,109728,6096,150749,xe" fillcolor="#be4b48" stroked="f" strokeweight="0">
                  <v:stroke miterlimit="83231f" joinstyle="miter"/>
                  <v:path arrowok="t" textboxrect="0,0,153543,43942"/>
                </v:shape>
                <v:shape id="Shape 695" o:spid="_x0000_s1107" style="position:absolute;left:21755;top:5106;width:1536;height:372;visibility:visible;mso-wrap-style:square;v-text-anchor:top" coordsize="153670,37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AV8QA&#10;AADcAAAADwAAAGRycy9kb3ducmV2LnhtbESPQWvCQBSE70L/w/IKvZlNi6YldQ2lRKxHY6l4e2Rf&#10;k9Ds25DdxPTfu4LgcZiZb5hVNplWjNS7xrKC5ygGQVxa3XCl4Puwmb+BcB5ZY2uZFPyTg2z9MFth&#10;qu2Z9zQWvhIBwi5FBbX3XSqlK2sy6CLbEQfv1/YGfZB9JXWP5wA3rXyJ40QabDgs1NjRZ03lXzEY&#10;BUdPi2azrXI5/DCetm7ppnyn1NPj9PEOwtPk7+Fb+0srWCSvcD0Tj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AFfEAAAA3AAAAA8AAAAAAAAAAAAAAAAAmAIAAGRycy9k&#10;b3ducmV2LnhtbFBLBQYAAAAABAAEAPUAAACJAwAAAAA=&#10;" path="m151638,r2032,19050l104521,24130,4572,36957r-1778,254l,18288r1651,-253l102108,5335,151638,xe" fillcolor="#be4b48" stroked="f" strokeweight="0">
                  <v:stroke miterlimit="83231f" joinstyle="miter"/>
                  <v:path arrowok="t" textboxrect="0,0,153670,37211"/>
                </v:shape>
                <v:shape id="Shape 696" o:spid="_x0000_s1108" style="position:absolute;left:23841;top:4935;width:1534;height:303;visibility:visible;mso-wrap-style:square;v-text-anchor:top" coordsize="153416,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VGsEA&#10;AADcAAAADwAAAGRycy9kb3ducmV2LnhtbERPz2vCMBS+D/wfwht4W9PpKFs1ihQUD7voetnt0Tyb&#10;YvNSkmi7/345CB4/vt/r7WR7cScfOscK3rMcBHHjdMetgvpn//YJIkRkjb1jUvBHAbab2csaS+1G&#10;PtH9HFuRQjiUqMDEOJRShsaQxZC5gThxF+ctxgR9K7XHMYXbXi7yvJAWO04NBgeqDDXX880qiFVV&#10;+IP+rQ6XYL+W32as62an1Px12q1ARJriU/xwH7WCjyKtTW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3lRrBAAAA3AAAAA8AAAAAAAAAAAAAAAAAmAIAAGRycy9kb3du&#10;cmV2LnhtbFBLBQYAAAAABAAEAPUAAACGAwAAAAA=&#10;" path="m152273,r1143,19050l98552,22352,1651,30353,,11303,97028,3302,152273,xe" fillcolor="#be4b48" stroked="f" strokeweight="0">
                  <v:stroke miterlimit="83231f" joinstyle="miter"/>
                  <v:path arrowok="t" textboxrect="0,0,153416,30353"/>
                </v:shape>
                <v:shape id="Shape 697" o:spid="_x0000_s1109" style="position:absolute;left:25937;top:4580;width:1971;height:762;visibility:visible;mso-wrap-style:square;v-text-anchor:top" coordsize="19710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oDcQA&#10;AADcAAAADwAAAGRycy9kb3ducmV2LnhtbESPUWvCMBSF3wX/Q7jC3jTdGOo6o4gwKcMX637AXXPb&#10;hjU3ocm09dcvg8EeD+ec73A2u8F24kp9MI4VPC4yEMSV04YbBR+Xt/kaRIjIGjvHpGCkALvtdLLB&#10;XLsbn+laxkYkCIccFbQx+lzKULVkMSycJ05e7XqLMcm+kbrHW4LbTj5l2VJaNJwWWvR0aKn6Kr+t&#10;gpMf689C3keu340/rcyxuB+tUg+zYf8KItIQ/8N/7UIreF6+wO+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qA3EAAAA3AAAAA8AAAAAAAAAAAAAAAAAmAIAAGRycy9k&#10;b3ducmV2LnhtbFBLBQYAAAAABAAEAPUAAACJAwAAAAA=&#10;" path="m120523,r76581,37211l121412,76200r-333,-28539l94234,48006,635,51308,,32258,93599,28956r27258,-347l120523,xe" fillcolor="#be4b48" stroked="f" strokeweight="0">
                  <v:stroke miterlimit="83231f" joinstyle="miter"/>
                  <v:path arrowok="t" textboxrect="0,0,197104,76200"/>
                </v:shape>
                <w10:anchorlock/>
              </v:group>
            </w:pict>
          </mc:Fallback>
        </mc:AlternateContent>
      </w:r>
    </w:p>
    <w:p w:rsidR="00006DD5" w:rsidRPr="007E5048" w:rsidRDefault="00006DD5" w:rsidP="00006DD5">
      <w:pPr>
        <w:spacing w:after="9" w:line="259" w:lineRule="auto"/>
        <w:jc w:val="both"/>
        <w:rPr>
          <w:rFonts w:ascii="Arial" w:hAnsi="Arial" w:cs="Arial"/>
        </w:rPr>
      </w:pPr>
    </w:p>
    <w:p w:rsidR="00006DD5" w:rsidRPr="007E5048" w:rsidRDefault="00006DD5" w:rsidP="00006DD5">
      <w:pPr>
        <w:pStyle w:val="Odstavecseseznamem"/>
        <w:numPr>
          <w:ilvl w:val="0"/>
          <w:numId w:val="40"/>
        </w:numPr>
        <w:spacing w:after="17" w:line="259" w:lineRule="auto"/>
        <w:contextualSpacing/>
        <w:jc w:val="both"/>
        <w:rPr>
          <w:rFonts w:ascii="Arial" w:hAnsi="Arial" w:cs="Arial"/>
          <w:b/>
          <w:bCs/>
          <w:sz w:val="24"/>
          <w:szCs w:val="24"/>
        </w:rPr>
      </w:pPr>
      <w:r w:rsidRPr="007E5048">
        <w:rPr>
          <w:rFonts w:ascii="Arial" w:hAnsi="Arial" w:cs="Arial"/>
          <w:b/>
          <w:bCs/>
          <w:sz w:val="24"/>
          <w:szCs w:val="24"/>
        </w:rPr>
        <w:t>Závěr</w:t>
      </w:r>
    </w:p>
    <w:p w:rsidR="00006DD5" w:rsidRPr="007E5048" w:rsidRDefault="00006DD5" w:rsidP="00006DD5">
      <w:pPr>
        <w:spacing w:after="9" w:line="259" w:lineRule="auto"/>
        <w:jc w:val="both"/>
        <w:rPr>
          <w:rFonts w:ascii="Arial" w:hAnsi="Arial" w:cs="Arial"/>
        </w:rPr>
      </w:pPr>
    </w:p>
    <w:p w:rsidR="00006DD5" w:rsidRPr="007E5048" w:rsidRDefault="00006DD5" w:rsidP="00006DD5">
      <w:pPr>
        <w:spacing w:after="4" w:line="291" w:lineRule="auto"/>
        <w:ind w:right="570"/>
        <w:jc w:val="both"/>
        <w:rPr>
          <w:rFonts w:ascii="Arial" w:hAnsi="Arial" w:cs="Arial"/>
        </w:rPr>
      </w:pPr>
      <w:r w:rsidRPr="007E5048">
        <w:rPr>
          <w:rFonts w:ascii="Arial" w:hAnsi="Arial" w:cs="Arial"/>
          <w:u w:val="single"/>
        </w:rPr>
        <w:t>Závěr A:</w:t>
      </w:r>
      <w:r w:rsidRPr="007E5048">
        <w:rPr>
          <w:rFonts w:ascii="Arial" w:hAnsi="Arial" w:cs="Arial"/>
        </w:rPr>
        <w:t xml:space="preserve"> Domníváme se, že i za těchto podmínek by </w:t>
      </w:r>
      <w:proofErr w:type="gramStart"/>
      <w:r w:rsidRPr="007E5048">
        <w:rPr>
          <w:rFonts w:ascii="Arial" w:hAnsi="Arial" w:cs="Arial"/>
        </w:rPr>
        <w:t>měl</w:t>
      </w:r>
      <w:proofErr w:type="gramEnd"/>
      <w:r w:rsidRPr="007E5048">
        <w:rPr>
          <w:rFonts w:ascii="Arial" w:hAnsi="Arial" w:cs="Arial"/>
        </w:rPr>
        <w:t xml:space="preserve"> být importér oprávněn opravit základ daně a daň z titulu výplaty Bonusu. Podmínky popsané ve výše uvedených koordinačních výborech a relevantních rozsudcích Soudního dvora EU, zejména zachování principu neutrality, jsou splněny.</w:t>
      </w:r>
    </w:p>
    <w:p w:rsidR="00006DD5" w:rsidRPr="007E5048" w:rsidRDefault="00006DD5" w:rsidP="00006DD5">
      <w:pPr>
        <w:spacing w:after="39" w:line="259" w:lineRule="auto"/>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Přestože jsou importér a držitel rozhodnutí o registraci odlišné osoby, Bonus vyplácí </w:t>
      </w:r>
      <w:proofErr w:type="gramStart"/>
      <w:r w:rsidRPr="007E5048">
        <w:rPr>
          <w:rFonts w:ascii="Arial" w:hAnsi="Arial" w:cs="Arial"/>
        </w:rPr>
        <w:t>a</w:t>
      </w:r>
      <w:proofErr w:type="gramEnd"/>
      <w:r w:rsidRPr="007E5048">
        <w:rPr>
          <w:rFonts w:ascii="Arial" w:hAnsi="Arial" w:cs="Arial"/>
        </w:rPr>
        <w:t xml:space="preserve"> ekonomicky nese importér. Skutečnost, že Smlouva je formálně uzavřena s jiným subjektem, vyplývá pouze z požadavků ZP, kterými se farmaceutické společnosti musí řídit.</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Pokud však ve výsledku Bonus ekonomicky nese importér, jsou splněny podmínky uvedené v judikatuře SDEU (tj. importér neobdrží po uzavření transakce část nebo celé protiplnění). Dle našeho názoru tedy musí existovat nárok </w:t>
      </w:r>
      <w:proofErr w:type="gramStart"/>
      <w:r w:rsidRPr="007E5048">
        <w:rPr>
          <w:rFonts w:ascii="Arial" w:hAnsi="Arial" w:cs="Arial"/>
        </w:rPr>
        <w:t>na</w:t>
      </w:r>
      <w:proofErr w:type="gramEnd"/>
      <w:r w:rsidRPr="007E5048">
        <w:rPr>
          <w:rFonts w:ascii="Arial" w:hAnsi="Arial" w:cs="Arial"/>
        </w:rPr>
        <w:t xml:space="preserve"> úpravu základu daně ve prospěch importéra, jelikož výplata Bonusu jde k jeho tíži, a nezíská tak část úplaty z ceny dodaných léků (smyslem Bonusu je v konečném důsledku snížit cenu léčivého přípravku dodaného na český trh).</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u w:val="single"/>
        </w:rPr>
        <w:t>Závěr B:</w:t>
      </w:r>
      <w:r w:rsidRPr="007E5048">
        <w:rPr>
          <w:rFonts w:ascii="Arial" w:hAnsi="Arial" w:cs="Arial"/>
        </w:rPr>
        <w:t xml:space="preserve"> Pro potvrzení právní jistoty někteří importéři uzavírají s držitelem rozhodnutí o registraci smlouvu, </w:t>
      </w:r>
      <w:proofErr w:type="gramStart"/>
      <w:r w:rsidRPr="007E5048">
        <w:rPr>
          <w:rFonts w:ascii="Arial" w:hAnsi="Arial" w:cs="Arial"/>
        </w:rPr>
        <w:t>na</w:t>
      </w:r>
      <w:proofErr w:type="gramEnd"/>
      <w:r w:rsidRPr="007E5048">
        <w:rPr>
          <w:rFonts w:ascii="Arial" w:hAnsi="Arial" w:cs="Arial"/>
        </w:rPr>
        <w:t xml:space="preserve"> základě které přistupují k jeho závazkům vyplývajících ze Smlouvy. Importér je tímto smluvně zavázán vyplácet zdravotním pojišťovnám Bonus, přičemž importérovi nevzniká subrogační nárok vůči držiteli rozhodnutí o registraci </w:t>
      </w:r>
      <w:proofErr w:type="gramStart"/>
      <w:r w:rsidRPr="007E5048">
        <w:rPr>
          <w:rFonts w:ascii="Arial" w:hAnsi="Arial" w:cs="Arial"/>
        </w:rPr>
        <w:t>na</w:t>
      </w:r>
      <w:proofErr w:type="gramEnd"/>
      <w:r w:rsidRPr="007E5048">
        <w:rPr>
          <w:rFonts w:ascii="Arial" w:hAnsi="Arial" w:cs="Arial"/>
        </w:rPr>
        <w:t xml:space="preserve"> úhradu Bonusu. </w:t>
      </w:r>
    </w:p>
    <w:p w:rsidR="00006DD5" w:rsidRPr="007E5048" w:rsidRDefault="00006DD5" w:rsidP="00006DD5">
      <w:pPr>
        <w:ind w:right="1"/>
        <w:jc w:val="both"/>
        <w:rPr>
          <w:rFonts w:ascii="Arial" w:hAnsi="Arial" w:cs="Arial"/>
        </w:rPr>
      </w:pPr>
      <w:r w:rsidRPr="007E5048">
        <w:rPr>
          <w:rFonts w:ascii="Arial" w:hAnsi="Arial" w:cs="Arial"/>
        </w:rPr>
        <w:lastRenderedPageBreak/>
        <w:t xml:space="preserve">Dle našeho názoru existuje nárok </w:t>
      </w:r>
      <w:proofErr w:type="gramStart"/>
      <w:r w:rsidRPr="007E5048">
        <w:rPr>
          <w:rFonts w:ascii="Arial" w:hAnsi="Arial" w:cs="Arial"/>
        </w:rPr>
        <w:t>na</w:t>
      </w:r>
      <w:proofErr w:type="gramEnd"/>
      <w:r w:rsidRPr="007E5048">
        <w:rPr>
          <w:rFonts w:ascii="Arial" w:hAnsi="Arial" w:cs="Arial"/>
        </w:rPr>
        <w:t xml:space="preserve"> úpravu základu daně ve prospěch importéra, jelikož výplata Bonusu jde k jeho tíži, a nezíská tak část úplaty z ceny dodaných léků.</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 xml:space="preserve">Dle našich zkušeností je tato situace běžná (a z pohledu snížení DPH z titulu poskytnutého nepřímého bonusu finanční správou aprobovaná) v jiných členských státech, například </w:t>
      </w:r>
      <w:proofErr w:type="gramStart"/>
      <w:r w:rsidRPr="007E5048">
        <w:rPr>
          <w:rFonts w:ascii="Arial" w:hAnsi="Arial" w:cs="Arial"/>
        </w:rPr>
        <w:t>na</w:t>
      </w:r>
      <w:proofErr w:type="gramEnd"/>
      <w:r w:rsidRPr="007E5048">
        <w:rPr>
          <w:rFonts w:ascii="Arial" w:hAnsi="Arial" w:cs="Arial"/>
        </w:rPr>
        <w:t xml:space="preserve"> Slovensku.</w:t>
      </w: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p>
    <w:p w:rsidR="00006DD5" w:rsidRPr="007E5048" w:rsidRDefault="00006DD5" w:rsidP="00006DD5">
      <w:pPr>
        <w:ind w:right="1"/>
        <w:jc w:val="both"/>
        <w:rPr>
          <w:rFonts w:ascii="Arial" w:hAnsi="Arial" w:cs="Arial"/>
        </w:rPr>
      </w:pPr>
      <w:r w:rsidRPr="007E5048">
        <w:rPr>
          <w:rFonts w:ascii="Arial" w:hAnsi="Arial" w:cs="Arial"/>
        </w:rPr>
        <w:t>Navrhujeme přijmout sjednocující výklad uvedený v závěrech výše a vhodným způsobem jej publikovat.</w:t>
      </w:r>
    </w:p>
    <w:p w:rsidR="00006DD5" w:rsidRPr="00314ABF" w:rsidRDefault="00006DD5" w:rsidP="00006DD5">
      <w:pPr>
        <w:autoSpaceDE w:val="0"/>
        <w:autoSpaceDN w:val="0"/>
        <w:adjustRightInd w:val="0"/>
        <w:jc w:val="both"/>
        <w:rPr>
          <w:rFonts w:ascii="Arial" w:hAnsi="Arial" w:cs="Arial"/>
          <w:bCs/>
          <w:lang w:val="cs-CZ"/>
        </w:rPr>
      </w:pPr>
    </w:p>
    <w:p w:rsidR="00006DD5" w:rsidRPr="000B3C04" w:rsidRDefault="00006DD5" w:rsidP="00006DD5">
      <w:pPr>
        <w:rPr>
          <w:rFonts w:ascii="Arial" w:hAnsi="Arial" w:cs="Arial"/>
          <w:b/>
          <w:bCs/>
          <w:i/>
          <w:highlight w:val="cyan"/>
          <w:u w:val="single"/>
          <w:lang w:val="cs-CZ"/>
        </w:rPr>
      </w:pPr>
      <w:r w:rsidRPr="000B3C04">
        <w:rPr>
          <w:rFonts w:ascii="Arial" w:hAnsi="Arial" w:cs="Arial"/>
          <w:b/>
          <w:bCs/>
          <w:i/>
          <w:highlight w:val="cyan"/>
          <w:u w:val="single"/>
          <w:lang w:val="cs-CZ"/>
        </w:rPr>
        <w:t>Stanovisko GFŘ</w:t>
      </w:r>
      <w:r w:rsidR="000B3C04">
        <w:rPr>
          <w:rFonts w:ascii="Arial" w:hAnsi="Arial" w:cs="Arial"/>
          <w:b/>
          <w:bCs/>
          <w:i/>
          <w:highlight w:val="cyan"/>
          <w:u w:val="single"/>
          <w:lang w:val="cs-CZ"/>
        </w:rPr>
        <w:t>:</w:t>
      </w:r>
    </w:p>
    <w:p w:rsidR="00006DD5" w:rsidRPr="00006DD5" w:rsidRDefault="00006DD5" w:rsidP="00006DD5">
      <w:pPr>
        <w:rPr>
          <w:rFonts w:ascii="Arial" w:hAnsi="Arial" w:cs="Arial"/>
          <w:bCs/>
          <w:i/>
          <w:highlight w:val="cyan"/>
          <w:lang w:val="cs-CZ"/>
        </w:rPr>
      </w:pPr>
    </w:p>
    <w:p w:rsidR="00006DD5" w:rsidRPr="00006DD5" w:rsidRDefault="00006DD5" w:rsidP="00006DD5">
      <w:pPr>
        <w:jc w:val="both"/>
        <w:rPr>
          <w:rFonts w:ascii="Arial" w:hAnsi="Arial" w:cs="Arial"/>
          <w:bCs/>
          <w:i/>
          <w:highlight w:val="cyan"/>
          <w:lang w:val="cs-CZ"/>
        </w:rPr>
      </w:pPr>
      <w:r w:rsidRPr="00006DD5">
        <w:rPr>
          <w:rFonts w:ascii="Arial" w:hAnsi="Arial" w:cs="Arial"/>
          <w:bCs/>
          <w:i/>
          <w:highlight w:val="cyan"/>
          <w:lang w:val="cs-CZ"/>
        </w:rPr>
        <w:t>GFŘ souhlasí</w:t>
      </w:r>
      <w:r w:rsidR="00771559">
        <w:rPr>
          <w:rFonts w:ascii="Arial" w:hAnsi="Arial" w:cs="Arial"/>
          <w:bCs/>
          <w:i/>
          <w:highlight w:val="cyan"/>
          <w:lang w:val="cs-CZ"/>
        </w:rPr>
        <w:t xml:space="preserve"> s navrženými závěry, neboť i im</w:t>
      </w:r>
      <w:r w:rsidRPr="00006DD5">
        <w:rPr>
          <w:rFonts w:ascii="Arial" w:hAnsi="Arial" w:cs="Arial"/>
          <w:bCs/>
          <w:i/>
          <w:highlight w:val="cyan"/>
          <w:lang w:val="cs-CZ"/>
        </w:rPr>
        <w:t>portér může provést opravu základu daně v případě, že je uveden rovněž na smlouvě o limitaci rizik spojených s hrazením léčivého přípravku (Smlouvy) nebo má závazkový vztah s držitelem rozhodnutí o registraci léku k přistoupení jejich záva</w:t>
      </w:r>
      <w:r w:rsidR="00771559">
        <w:rPr>
          <w:rFonts w:ascii="Arial" w:hAnsi="Arial" w:cs="Arial"/>
          <w:bCs/>
          <w:i/>
          <w:highlight w:val="cyan"/>
          <w:lang w:val="cs-CZ"/>
        </w:rPr>
        <w:t>z</w:t>
      </w:r>
      <w:r w:rsidRPr="00006DD5">
        <w:rPr>
          <w:rFonts w:ascii="Arial" w:hAnsi="Arial" w:cs="Arial"/>
          <w:bCs/>
          <w:i/>
          <w:highlight w:val="cyan"/>
          <w:lang w:val="cs-CZ"/>
        </w:rPr>
        <w:t>ků vyplývající ze Smlouvy.</w:t>
      </w:r>
    </w:p>
    <w:p w:rsidR="00006DD5" w:rsidRPr="00006DD5" w:rsidRDefault="00006DD5" w:rsidP="00006DD5">
      <w:pPr>
        <w:jc w:val="both"/>
        <w:rPr>
          <w:rFonts w:ascii="Arial" w:hAnsi="Arial" w:cs="Arial"/>
          <w:bCs/>
          <w:i/>
          <w:highlight w:val="cyan"/>
          <w:lang w:val="cs-CZ"/>
        </w:rPr>
      </w:pPr>
    </w:p>
    <w:p w:rsidR="00F74466" w:rsidRPr="00006DD5" w:rsidRDefault="00006DD5" w:rsidP="00006DD5">
      <w:pPr>
        <w:autoSpaceDE w:val="0"/>
        <w:autoSpaceDN w:val="0"/>
        <w:adjustRightInd w:val="0"/>
        <w:jc w:val="both"/>
        <w:rPr>
          <w:rFonts w:ascii="Arial" w:hAnsi="Arial" w:cs="Arial"/>
          <w:bCs/>
          <w:i/>
          <w:lang w:val="cs-CZ"/>
        </w:rPr>
      </w:pPr>
      <w:r w:rsidRPr="00006DD5">
        <w:rPr>
          <w:rFonts w:ascii="Arial" w:hAnsi="Arial" w:cs="Arial"/>
          <w:bCs/>
          <w:i/>
          <w:highlight w:val="cyan"/>
          <w:lang w:val="cs-CZ"/>
        </w:rPr>
        <w:t>Závěry podporuje i rozsudek SD EU ve věci C-717/19 Boehringer Ingelheim RCV GmbH &amp; Co. KG Magyarországi Fióktelepe ze dne 6. října 2021.</w:t>
      </w:r>
    </w:p>
    <w:p w:rsidR="00F74466" w:rsidRPr="00D75C7A" w:rsidRDefault="00F74466" w:rsidP="00F74466">
      <w:pPr>
        <w:pStyle w:val="Zkladntext"/>
        <w:spacing w:after="0" w:line="276" w:lineRule="auto"/>
        <w:rPr>
          <w:rFonts w:ascii="Arial" w:hAnsi="Arial" w:cs="Arial"/>
          <w:b/>
          <w:color w:val="000000"/>
          <w:u w:val="single"/>
          <w:shd w:val="clear" w:color="auto" w:fill="FFFFFF"/>
        </w:rPr>
      </w:pPr>
    </w:p>
    <w:p w:rsidR="00F74466" w:rsidRDefault="00F74466" w:rsidP="00F74466">
      <w:pPr>
        <w:rPr>
          <w:rFonts w:ascii="Arial" w:hAnsi="Arial" w:cs="Arial"/>
          <w:b/>
          <w:color w:val="000000"/>
          <w:u w:val="single"/>
          <w:shd w:val="clear" w:color="auto" w:fill="FFFFFF"/>
        </w:rPr>
      </w:pPr>
    </w:p>
    <w:p w:rsidR="007E5048" w:rsidRDefault="007E5048" w:rsidP="007E5048">
      <w:pPr>
        <w:rPr>
          <w:rFonts w:ascii="Arial" w:hAnsi="Arial" w:cs="Arial"/>
          <w:b/>
          <w:color w:val="000000"/>
          <w:u w:val="single"/>
          <w:shd w:val="clear" w:color="auto" w:fill="FFFFFF"/>
        </w:rPr>
      </w:pPr>
    </w:p>
    <w:p w:rsidR="007E5048" w:rsidRDefault="007E5048">
      <w:pPr>
        <w:rPr>
          <w:rFonts w:ascii="Arial" w:hAnsi="Arial" w:cs="Arial"/>
          <w:bCs/>
          <w:lang w:val="cs-CZ"/>
        </w:rPr>
      </w:pPr>
      <w:bookmarkStart w:id="0" w:name="_GoBack"/>
      <w:bookmarkEnd w:id="0"/>
      <w:r>
        <w:rPr>
          <w:rFonts w:ascii="Arial" w:hAnsi="Arial" w:cs="Arial"/>
          <w:bCs/>
          <w:lang w:val="cs-CZ"/>
        </w:rPr>
        <w:br w:type="page"/>
      </w:r>
    </w:p>
    <w:p w:rsidR="00327CE7" w:rsidRPr="00B3013A" w:rsidRDefault="00327CE7" w:rsidP="00327CE7">
      <w:pPr>
        <w:jc w:val="center"/>
        <w:rPr>
          <w:rFonts w:ascii="Arial" w:hAnsi="Arial" w:cs="Arial"/>
          <w:b/>
          <w:color w:val="000000"/>
          <w:sz w:val="28"/>
          <w:szCs w:val="28"/>
          <w:u w:val="single"/>
          <w:shd w:val="clear" w:color="auto" w:fill="FFFFFF"/>
        </w:rPr>
      </w:pPr>
      <w:r w:rsidRPr="00B3013A">
        <w:rPr>
          <w:rFonts w:ascii="Arial" w:hAnsi="Arial" w:cs="Arial"/>
          <w:b/>
          <w:color w:val="000000"/>
          <w:sz w:val="28"/>
          <w:szCs w:val="28"/>
          <w:highlight w:val="yellow"/>
          <w:u w:val="single"/>
          <w:shd w:val="clear" w:color="auto" w:fill="FFFFFF"/>
        </w:rPr>
        <w:lastRenderedPageBreak/>
        <w:t>PŘÍSPĚVEK UZAVŘEN, V KONKRÉTNÍCH BODECH S ROZPOREM</w:t>
      </w:r>
    </w:p>
    <w:p w:rsidR="002844F3" w:rsidRDefault="002844F3" w:rsidP="002844F3">
      <w:pPr>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7E5048" w:rsidRDefault="007E5048" w:rsidP="00BA07DF">
      <w:pPr>
        <w:pStyle w:val="Zkladntext"/>
        <w:spacing w:after="0" w:line="276" w:lineRule="auto"/>
        <w:rPr>
          <w:rFonts w:ascii="Arial" w:hAnsi="Arial" w:cs="Arial"/>
          <w:b/>
          <w:color w:val="000000"/>
          <w:u w:val="single"/>
          <w:shd w:val="clear" w:color="auto" w:fill="FFFFFF"/>
        </w:rPr>
      </w:pPr>
    </w:p>
    <w:p w:rsidR="00855261" w:rsidRDefault="00855261" w:rsidP="00855261">
      <w:pPr>
        <w:pStyle w:val="Zkladntext"/>
        <w:spacing w:after="0" w:line="276" w:lineRule="auto"/>
        <w:jc w:val="both"/>
        <w:rPr>
          <w:rFonts w:ascii="Arial" w:hAnsi="Arial" w:cs="Arial"/>
          <w:b/>
          <w:color w:val="000000"/>
          <w:shd w:val="clear" w:color="auto" w:fill="FFFFFF"/>
        </w:rPr>
      </w:pPr>
      <w:r>
        <w:rPr>
          <w:rFonts w:ascii="Arial" w:hAnsi="Arial" w:cs="Arial"/>
          <w:b/>
          <w:color w:val="000000"/>
          <w:shd w:val="clear" w:color="auto" w:fill="FFFFFF"/>
        </w:rPr>
        <w:t xml:space="preserve">587/24.11.21 </w:t>
      </w:r>
      <w:r w:rsidRPr="003921F8">
        <w:rPr>
          <w:rFonts w:ascii="Arial" w:hAnsi="Arial" w:cs="Arial"/>
          <w:b/>
          <w:color w:val="000000"/>
          <w:shd w:val="clear" w:color="auto" w:fill="FFFFFF"/>
        </w:rPr>
        <w:t>Vstupní cena</w:t>
      </w:r>
      <w:r>
        <w:rPr>
          <w:rFonts w:ascii="Arial" w:hAnsi="Arial" w:cs="Arial"/>
          <w:b/>
          <w:color w:val="000000"/>
          <w:shd w:val="clear" w:color="auto" w:fill="FFFFFF"/>
        </w:rPr>
        <w:t xml:space="preserve"> zásob a majetku, který není hmotným </w:t>
      </w:r>
      <w:proofErr w:type="gramStart"/>
      <w:r>
        <w:rPr>
          <w:rFonts w:ascii="Arial" w:hAnsi="Arial" w:cs="Arial"/>
          <w:b/>
          <w:color w:val="000000"/>
          <w:shd w:val="clear" w:color="auto" w:fill="FFFFFF"/>
        </w:rPr>
        <w:t xml:space="preserve">majetkem </w:t>
      </w:r>
      <w:r w:rsidRPr="003921F8">
        <w:rPr>
          <w:rFonts w:ascii="Arial" w:hAnsi="Arial" w:cs="Arial"/>
          <w:b/>
          <w:color w:val="000000"/>
          <w:shd w:val="clear" w:color="auto" w:fill="FFFFFF"/>
        </w:rPr>
        <w:t xml:space="preserve"> a nehmotného</w:t>
      </w:r>
      <w:proofErr w:type="gramEnd"/>
      <w:r w:rsidRPr="003921F8">
        <w:rPr>
          <w:rFonts w:ascii="Arial" w:hAnsi="Arial" w:cs="Arial"/>
          <w:b/>
          <w:color w:val="000000"/>
          <w:shd w:val="clear" w:color="auto" w:fill="FFFFFF"/>
        </w:rPr>
        <w:t xml:space="preserve"> majetku, u přijímajícího poplatníka</w:t>
      </w:r>
      <w:r>
        <w:rPr>
          <w:rFonts w:ascii="Arial" w:hAnsi="Arial" w:cs="Arial"/>
          <w:b/>
          <w:color w:val="000000"/>
          <w:shd w:val="clear" w:color="auto" w:fill="FFFFFF"/>
        </w:rPr>
        <w:t xml:space="preserve"> </w:t>
      </w:r>
    </w:p>
    <w:p w:rsidR="00855261" w:rsidRDefault="00855261" w:rsidP="00855261">
      <w:pPr>
        <w:pStyle w:val="Zkladntext"/>
        <w:spacing w:after="0" w:line="276" w:lineRule="auto"/>
        <w:jc w:val="both"/>
        <w:rPr>
          <w:rFonts w:ascii="Arial" w:hAnsi="Arial" w:cs="Arial"/>
          <w:b/>
          <w:color w:val="000000"/>
          <w:shd w:val="clear" w:color="auto" w:fill="FFFFFF"/>
        </w:rPr>
      </w:pPr>
    </w:p>
    <w:p w:rsidR="00855261" w:rsidRPr="003921F8" w:rsidRDefault="00855261" w:rsidP="00855261">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rsidR="00855261" w:rsidRPr="003921F8" w:rsidRDefault="00855261" w:rsidP="00855261">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 xml:space="preserve">Mgr. Zenon Folwarczny, </w:t>
      </w:r>
      <w:proofErr w:type="gramStart"/>
      <w:r w:rsidRPr="003921F8">
        <w:rPr>
          <w:rFonts w:ascii="Arial" w:hAnsi="Arial" w:cs="Arial"/>
          <w:color w:val="000000"/>
          <w:shd w:val="clear" w:color="auto" w:fill="FFFFFF"/>
        </w:rPr>
        <w:t>LL.M.</w:t>
      </w:r>
      <w:proofErr w:type="gramEnd"/>
      <w:r w:rsidRPr="003921F8">
        <w:rPr>
          <w:rFonts w:ascii="Arial" w:hAnsi="Arial" w:cs="Arial"/>
          <w:color w:val="000000"/>
          <w:shd w:val="clear" w:color="auto" w:fill="FFFFFF"/>
        </w:rPr>
        <w:t>, daň</w:t>
      </w:r>
      <w:r>
        <w:rPr>
          <w:rFonts w:ascii="Arial" w:hAnsi="Arial" w:cs="Arial"/>
          <w:color w:val="000000"/>
          <w:shd w:val="clear" w:color="auto" w:fill="FFFFFF"/>
        </w:rPr>
        <w:t>ový poradce, č. osv. 3661</w:t>
      </w:r>
    </w:p>
    <w:p w:rsidR="00855261" w:rsidRPr="003921F8" w:rsidRDefault="00855261" w:rsidP="00855261">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rsidR="00855261" w:rsidRPr="00341E5A" w:rsidRDefault="00855261" w:rsidP="00855261">
      <w:pPr>
        <w:pStyle w:val="Zkladntext"/>
        <w:spacing w:after="0" w:line="276" w:lineRule="auto"/>
        <w:ind w:left="708" w:firstLine="708"/>
        <w:jc w:val="both"/>
        <w:rPr>
          <w:rFonts w:ascii="Arial" w:hAnsi="Arial" w:cs="Arial"/>
          <w:shd w:val="clear" w:color="auto" w:fill="FFFFFF"/>
        </w:rPr>
      </w:pPr>
      <w:r w:rsidRPr="002907D2">
        <w:rPr>
          <w:rFonts w:ascii="Arial" w:hAnsi="Arial" w:cs="Arial"/>
        </w:rPr>
        <w:t>Ing. Jiří Hlaváč Ph.D.</w:t>
      </w:r>
      <w:r w:rsidRPr="002907D2">
        <w:rPr>
          <w:rFonts w:ascii="Arial" w:hAnsi="Arial" w:cs="Arial"/>
          <w:shd w:val="clear" w:color="auto" w:fill="FFFFFF"/>
        </w:rPr>
        <w:t xml:space="preserve"> daňový poradce, č. osv. </w:t>
      </w:r>
      <w:r w:rsidRPr="002907D2">
        <w:rPr>
          <w:rFonts w:ascii="Arial" w:hAnsi="Arial" w:cs="Arial"/>
          <w:color w:val="2E3641"/>
          <w:shd w:val="clear" w:color="auto" w:fill="FFFFFF"/>
        </w:rPr>
        <w:t>3221</w:t>
      </w:r>
    </w:p>
    <w:p w:rsidR="00855261" w:rsidRDefault="00855261" w:rsidP="00855261">
      <w:pPr>
        <w:pStyle w:val="Zkladntext"/>
        <w:spacing w:after="0" w:line="276" w:lineRule="auto"/>
        <w:rPr>
          <w:rFonts w:ascii="Arial" w:hAnsi="Arial" w:cs="Arial"/>
          <w:b/>
          <w:color w:val="000000"/>
          <w:u w:val="single"/>
          <w:shd w:val="clear" w:color="auto" w:fill="FFFFFF"/>
        </w:rPr>
      </w:pPr>
    </w:p>
    <w:p w:rsidR="00855261" w:rsidRDefault="00855261" w:rsidP="00855261">
      <w:pPr>
        <w:pStyle w:val="Zkladntext"/>
        <w:spacing w:after="0" w:line="276" w:lineRule="auto"/>
        <w:jc w:val="both"/>
        <w:rPr>
          <w:rFonts w:ascii="Arial" w:hAnsi="Arial" w:cs="Arial"/>
        </w:rPr>
      </w:pPr>
      <w:r w:rsidRPr="00D22594">
        <w:rPr>
          <w:rFonts w:ascii="Arial" w:hAnsi="Arial" w:cs="Arial"/>
        </w:rPr>
        <w:t xml:space="preserve">Tento příspěvek navazuje na </w:t>
      </w:r>
      <w:r>
        <w:rPr>
          <w:rFonts w:ascii="Arial" w:hAnsi="Arial" w:cs="Arial"/>
        </w:rPr>
        <w:t xml:space="preserve">předchozí </w:t>
      </w:r>
      <w:r w:rsidRPr="00D22594">
        <w:rPr>
          <w:rFonts w:ascii="Arial" w:hAnsi="Arial" w:cs="Arial"/>
        </w:rPr>
        <w:t>příspěvek</w:t>
      </w:r>
      <w:r>
        <w:rPr>
          <w:rFonts w:ascii="Arial" w:hAnsi="Arial" w:cs="Arial"/>
        </w:rPr>
        <w:t xml:space="preserve"> na toto téma  </w:t>
      </w:r>
      <w:r w:rsidRPr="00D22594">
        <w:rPr>
          <w:rFonts w:ascii="Arial" w:hAnsi="Arial" w:cs="Arial"/>
        </w:rPr>
        <w:t xml:space="preserve"> </w:t>
      </w:r>
      <w:r>
        <w:rPr>
          <w:rFonts w:ascii="Arial" w:hAnsi="Arial" w:cs="Arial"/>
        </w:rPr>
        <w:t>(</w:t>
      </w:r>
      <w:r w:rsidRPr="00FE12B8">
        <w:rPr>
          <w:rFonts w:ascii="Arial" w:hAnsi="Arial" w:cs="Arial"/>
          <w:i/>
          <w:shd w:val="clear" w:color="auto" w:fill="FFFFFF"/>
        </w:rPr>
        <w:t xml:space="preserve">Ing. Jan Kotala, Mgr. Zenon Folwarczny, </w:t>
      </w:r>
      <w:proofErr w:type="gramStart"/>
      <w:r w:rsidRPr="00FE12B8">
        <w:rPr>
          <w:rFonts w:ascii="Arial" w:hAnsi="Arial" w:cs="Arial"/>
          <w:i/>
          <w:shd w:val="clear" w:color="auto" w:fill="FFFFFF"/>
        </w:rPr>
        <w:t>LL.M.</w:t>
      </w:r>
      <w:proofErr w:type="gramEnd"/>
      <w:r w:rsidRPr="00FE12B8">
        <w:rPr>
          <w:rFonts w:ascii="Arial" w:hAnsi="Arial" w:cs="Arial"/>
          <w:i/>
          <w:shd w:val="clear" w:color="auto" w:fill="FFFFFF"/>
        </w:rPr>
        <w:t>, Ing. Bc. Jiří Nesrovnal, 573/24.03.21 Vstupní cena hmotného a nehmotného majetku, nabývací cena cenných papírů a obchodních podílů a daňově uznatelné náklady u ostatního majetku evidovaného u přijímajícího poplatníka</w:t>
      </w:r>
      <w:r>
        <w:rPr>
          <w:rFonts w:ascii="Arial" w:hAnsi="Arial" w:cs="Arial"/>
          <w:i/>
          <w:shd w:val="clear" w:color="auto" w:fill="FFFFFF"/>
        </w:rPr>
        <w:t>, „</w:t>
      </w:r>
      <w:r w:rsidRPr="00A47ACB">
        <w:rPr>
          <w:rFonts w:ascii="Arial" w:hAnsi="Arial" w:cs="Arial"/>
          <w:b/>
        </w:rPr>
        <w:t>předchozí</w:t>
      </w:r>
      <w:r>
        <w:rPr>
          <w:rFonts w:ascii="Arial" w:hAnsi="Arial" w:cs="Arial"/>
        </w:rPr>
        <w:t xml:space="preserve"> </w:t>
      </w:r>
      <w:r w:rsidRPr="00A47ACB">
        <w:rPr>
          <w:rFonts w:ascii="Arial" w:hAnsi="Arial" w:cs="Arial"/>
          <w:b/>
          <w:i/>
          <w:shd w:val="clear" w:color="auto" w:fill="FFFFFF"/>
        </w:rPr>
        <w:t>KV</w:t>
      </w:r>
      <w:r>
        <w:rPr>
          <w:rFonts w:ascii="Arial" w:hAnsi="Arial" w:cs="Arial"/>
          <w:i/>
          <w:shd w:val="clear" w:color="auto" w:fill="FFFFFF"/>
        </w:rPr>
        <w:t>“)</w:t>
      </w:r>
      <w:r>
        <w:rPr>
          <w:rFonts w:ascii="Arial" w:hAnsi="Arial" w:cs="Arial"/>
        </w:rPr>
        <w:t xml:space="preserve">. V tomto příspěvku </w:t>
      </w:r>
      <w:r w:rsidRPr="00D22594">
        <w:rPr>
          <w:rFonts w:ascii="Arial" w:hAnsi="Arial" w:cs="Arial"/>
        </w:rPr>
        <w:t xml:space="preserve">se zabýváme majetkovými složkami, které </w:t>
      </w:r>
      <w:r>
        <w:rPr>
          <w:rFonts w:ascii="Arial" w:hAnsi="Arial" w:cs="Arial"/>
        </w:rPr>
        <w:t xml:space="preserve">nebyly specifikovány </w:t>
      </w:r>
      <w:r w:rsidRPr="00CD29EB">
        <w:rPr>
          <w:rFonts w:ascii="Arial" w:hAnsi="Arial" w:cs="Arial"/>
        </w:rPr>
        <w:t>v</w:t>
      </w:r>
      <w:r>
        <w:rPr>
          <w:rFonts w:ascii="Arial" w:hAnsi="Arial" w:cs="Arial"/>
        </w:rPr>
        <w:t xml:space="preserve"> předchozím </w:t>
      </w:r>
      <w:r w:rsidRPr="00A47ACB">
        <w:rPr>
          <w:rFonts w:ascii="Arial" w:hAnsi="Arial" w:cs="Arial"/>
          <w:shd w:val="clear" w:color="auto" w:fill="FFFFFF"/>
        </w:rPr>
        <w:t>KV, a které</w:t>
      </w:r>
      <w:r w:rsidRPr="00D22594">
        <w:rPr>
          <w:rFonts w:ascii="Arial" w:hAnsi="Arial" w:cs="Arial"/>
        </w:rPr>
        <w:t xml:space="preserve"> je možné vyčlenit </w:t>
      </w:r>
      <w:r>
        <w:rPr>
          <w:rFonts w:ascii="Arial" w:hAnsi="Arial" w:cs="Arial"/>
        </w:rPr>
        <w:t xml:space="preserve">do </w:t>
      </w:r>
      <w:r w:rsidRPr="00D22594">
        <w:rPr>
          <w:rFonts w:ascii="Arial" w:hAnsi="Arial" w:cs="Arial"/>
        </w:rPr>
        <w:t xml:space="preserve">svěřenského fondu, resp. vložit do obchodní korporace či rodinné </w:t>
      </w:r>
      <w:r>
        <w:rPr>
          <w:rFonts w:ascii="Arial" w:hAnsi="Arial" w:cs="Arial"/>
        </w:rPr>
        <w:t>fun</w:t>
      </w:r>
      <w:r w:rsidRPr="00D22594">
        <w:rPr>
          <w:rFonts w:ascii="Arial" w:hAnsi="Arial" w:cs="Arial"/>
        </w:rPr>
        <w:t>dace</w:t>
      </w:r>
      <w:r>
        <w:rPr>
          <w:rFonts w:ascii="Arial" w:hAnsi="Arial" w:cs="Arial"/>
        </w:rPr>
        <w:t xml:space="preserve"> – (i) zásobami a hmotným majetkem</w:t>
      </w:r>
      <w:r w:rsidRPr="00D22594">
        <w:rPr>
          <w:rFonts w:ascii="Arial" w:hAnsi="Arial" w:cs="Arial"/>
        </w:rPr>
        <w:t>, který není hmotn</w:t>
      </w:r>
      <w:r>
        <w:rPr>
          <w:rFonts w:ascii="Arial" w:hAnsi="Arial" w:cs="Arial"/>
        </w:rPr>
        <w:t xml:space="preserve">ým majetkem dle ZDP a (ii) nehmotným majetkem (v tomto příspěvku neřeším problematiku nehmotného majetku dle § 32a ZDP ve znění platném do </w:t>
      </w:r>
      <w:proofErr w:type="gramStart"/>
      <w:r>
        <w:rPr>
          <w:rFonts w:ascii="Arial" w:hAnsi="Arial" w:cs="Arial"/>
        </w:rPr>
        <w:t>31.12.2020</w:t>
      </w:r>
      <w:proofErr w:type="gramEnd"/>
      <w:r>
        <w:rPr>
          <w:rFonts w:ascii="Arial" w:hAnsi="Arial" w:cs="Arial"/>
        </w:rPr>
        <w:t>, který byl předmětem výše uvedeného předchozího příspěvku, ale pouze nehmotný majetek dle účetních předpisů)</w:t>
      </w:r>
      <w:r w:rsidRPr="00D22594">
        <w:rPr>
          <w:rFonts w:ascii="Arial" w:hAnsi="Arial" w:cs="Arial"/>
        </w:rPr>
        <w:t>. V tomto případě je věc částečně výslovně řešena v § 24 odst. 2 písm. v) ZDP a § 24 odst. 11 ZDP. Nicméně tato ustanovení nepokrývají všechny situace, které mohou v praxi nastat. V souladu se stanovisky GFŘ k</w:t>
      </w:r>
      <w:r>
        <w:rPr>
          <w:rFonts w:ascii="Arial" w:hAnsi="Arial" w:cs="Arial"/>
        </w:rPr>
        <w:t xml:space="preserve"> předchozímu KV </w:t>
      </w:r>
      <w:r w:rsidRPr="00D22594">
        <w:rPr>
          <w:rFonts w:ascii="Arial" w:hAnsi="Arial" w:cs="Arial"/>
        </w:rPr>
        <w:t xml:space="preserve">i </w:t>
      </w:r>
      <w:r>
        <w:rPr>
          <w:rFonts w:ascii="Arial" w:hAnsi="Arial" w:cs="Arial"/>
        </w:rPr>
        <w:t xml:space="preserve">u výše zmíněných majetkových složek </w:t>
      </w:r>
      <w:r w:rsidRPr="00D22594">
        <w:rPr>
          <w:rFonts w:ascii="Arial" w:hAnsi="Arial" w:cs="Arial"/>
        </w:rPr>
        <w:t xml:space="preserve">platí, že ZDP výslovně nedefinuje </w:t>
      </w:r>
      <w:r>
        <w:rPr>
          <w:rFonts w:ascii="Arial" w:hAnsi="Arial" w:cs="Arial"/>
        </w:rPr>
        <w:t>jejich „</w:t>
      </w:r>
      <w:r w:rsidRPr="00D22594">
        <w:rPr>
          <w:rFonts w:ascii="Arial" w:hAnsi="Arial" w:cs="Arial"/>
        </w:rPr>
        <w:t>daňovou nabývací hodnotu</w:t>
      </w:r>
      <w:r>
        <w:rPr>
          <w:rFonts w:ascii="Arial" w:hAnsi="Arial" w:cs="Arial"/>
        </w:rPr>
        <w:t>“</w:t>
      </w:r>
      <w:r w:rsidRPr="00D22594">
        <w:rPr>
          <w:rFonts w:ascii="Arial" w:hAnsi="Arial" w:cs="Arial"/>
        </w:rPr>
        <w:t>, ale předmětná relevantní ustanovení (§ 24 odst. 2 písm. v) ZDP a § 24 odst. 11 ZDP) pouze</w:t>
      </w:r>
      <w:r>
        <w:rPr>
          <w:rFonts w:ascii="Arial" w:hAnsi="Arial" w:cs="Arial"/>
        </w:rPr>
        <w:t xml:space="preserve"> v některých případech</w:t>
      </w:r>
      <w:r w:rsidRPr="00D22594">
        <w:rPr>
          <w:rFonts w:ascii="Arial" w:hAnsi="Arial" w:cs="Arial"/>
        </w:rPr>
        <w:t xml:space="preserve"> omezují daňovou uznatelnost účetních nákladů, které v těchto případech vznikají, tj. účetních odpisů a nákladů z titulu spotřeby zásob či jiných situací, kdy je možné zásoby uplatnit jako daňový výdaj (např. škoda).</w:t>
      </w:r>
      <w:r>
        <w:rPr>
          <w:rFonts w:ascii="Arial" w:hAnsi="Arial" w:cs="Arial"/>
        </w:rPr>
        <w:t xml:space="preserve"> Pokud danou situaci výslovně </w:t>
      </w:r>
      <w:proofErr w:type="gramStart"/>
      <w:r>
        <w:rPr>
          <w:rFonts w:ascii="Arial" w:hAnsi="Arial" w:cs="Arial"/>
        </w:rPr>
        <w:t>nepokrývají</w:t>
      </w:r>
      <w:proofErr w:type="gramEnd"/>
      <w:r>
        <w:rPr>
          <w:rFonts w:ascii="Arial" w:hAnsi="Arial" w:cs="Arial"/>
        </w:rPr>
        <w:t xml:space="preserve"> daná ustanovení </w:t>
      </w:r>
      <w:proofErr w:type="gramStart"/>
      <w:r>
        <w:rPr>
          <w:rFonts w:ascii="Arial" w:hAnsi="Arial" w:cs="Arial"/>
        </w:rPr>
        <w:t>mělo</w:t>
      </w:r>
      <w:proofErr w:type="gramEnd"/>
      <w:r>
        <w:rPr>
          <w:rFonts w:ascii="Arial" w:hAnsi="Arial" w:cs="Arial"/>
        </w:rPr>
        <w:t xml:space="preserve"> by v souladu s § 21h ZDP platit, že účetní náklady budou daňově relevantní.</w:t>
      </w:r>
    </w:p>
    <w:p w:rsidR="00855261" w:rsidRDefault="00855261" w:rsidP="00855261">
      <w:pPr>
        <w:pStyle w:val="Zkladntext"/>
        <w:spacing w:after="0" w:line="276" w:lineRule="auto"/>
        <w:jc w:val="both"/>
        <w:rPr>
          <w:rFonts w:ascii="Arial" w:hAnsi="Arial" w:cs="Arial"/>
        </w:rPr>
      </w:pPr>
    </w:p>
    <w:p w:rsidR="00855261" w:rsidRPr="00D22594" w:rsidRDefault="00855261" w:rsidP="00855261">
      <w:pPr>
        <w:pStyle w:val="Zkladntext"/>
        <w:spacing w:after="0" w:line="276" w:lineRule="auto"/>
        <w:jc w:val="both"/>
        <w:rPr>
          <w:rFonts w:ascii="Arial" w:hAnsi="Arial" w:cs="Arial"/>
          <w:color w:val="000000"/>
          <w:shd w:val="clear" w:color="auto" w:fill="FFFFFF"/>
        </w:rPr>
      </w:pPr>
      <w:r>
        <w:rPr>
          <w:rFonts w:ascii="Arial" w:hAnsi="Arial" w:cs="Arial"/>
        </w:rPr>
        <w:t>Osobu, která majetek vkládá či vyčleňuje do svěřenského fondu, rodinné fundace či obchodní korporace dále označujeme jako převodce a svěřenský fond, rodinnou fundaci či obchodní korporaci, která majetek nabývá, pak jako nabyvatele.</w:t>
      </w:r>
    </w:p>
    <w:p w:rsidR="00855261" w:rsidRPr="00D22594" w:rsidRDefault="00855261" w:rsidP="00855261">
      <w:pPr>
        <w:pStyle w:val="Zkladntext"/>
        <w:spacing w:after="0" w:line="276" w:lineRule="auto"/>
        <w:jc w:val="both"/>
      </w:pPr>
    </w:p>
    <w:p w:rsidR="00855261" w:rsidRDefault="00855261" w:rsidP="00855261">
      <w:pPr>
        <w:jc w:val="both"/>
        <w:rPr>
          <w:rFonts w:ascii="Arial" w:hAnsi="Arial" w:cs="Arial"/>
          <w:u w:val="single"/>
        </w:rPr>
      </w:pPr>
      <w:r w:rsidRPr="00D22594">
        <w:rPr>
          <w:rFonts w:ascii="Arial" w:hAnsi="Arial" w:cs="Arial"/>
          <w:u w:val="single"/>
        </w:rPr>
        <w:t>1. Zásoby</w:t>
      </w:r>
    </w:p>
    <w:p w:rsidR="00855261" w:rsidRPr="00D22594" w:rsidRDefault="00855261" w:rsidP="00855261">
      <w:pPr>
        <w:jc w:val="both"/>
        <w:rPr>
          <w:rFonts w:ascii="Arial" w:hAnsi="Arial" w:cs="Arial"/>
          <w:u w:val="single"/>
        </w:rPr>
      </w:pPr>
    </w:p>
    <w:p w:rsidR="00855261" w:rsidRDefault="00855261" w:rsidP="00855261">
      <w:pPr>
        <w:jc w:val="both"/>
        <w:rPr>
          <w:rFonts w:ascii="Arial" w:hAnsi="Arial" w:cs="Arial"/>
        </w:rPr>
      </w:pPr>
      <w:r w:rsidRPr="00D22594">
        <w:rPr>
          <w:rFonts w:ascii="Arial" w:hAnsi="Arial" w:cs="Arial"/>
        </w:rPr>
        <w:t xml:space="preserve">V případě zásob je výslovně řešena </w:t>
      </w:r>
      <w:proofErr w:type="gramStart"/>
      <w:r w:rsidRPr="00D22594">
        <w:rPr>
          <w:rFonts w:ascii="Arial" w:hAnsi="Arial" w:cs="Arial"/>
        </w:rPr>
        <w:t>a</w:t>
      </w:r>
      <w:proofErr w:type="gramEnd"/>
      <w:r w:rsidRPr="00D22594">
        <w:rPr>
          <w:rFonts w:ascii="Arial" w:hAnsi="Arial" w:cs="Arial"/>
        </w:rPr>
        <w:t xml:space="preserve"> upravena situace, kdy převodce</w:t>
      </w:r>
      <w:r>
        <w:rPr>
          <w:rFonts w:ascii="Arial" w:hAnsi="Arial" w:cs="Arial"/>
        </w:rPr>
        <w:t xml:space="preserve"> je účetní jednotka nebo jde o fyzickou osobu,</w:t>
      </w:r>
      <w:r w:rsidRPr="00D22594">
        <w:rPr>
          <w:rFonts w:ascii="Arial" w:hAnsi="Arial" w:cs="Arial"/>
        </w:rPr>
        <w:t xml:space="preserve"> </w:t>
      </w:r>
      <w:r>
        <w:rPr>
          <w:rFonts w:ascii="Arial" w:hAnsi="Arial" w:cs="Arial"/>
        </w:rPr>
        <w:t xml:space="preserve">která </w:t>
      </w:r>
      <w:r w:rsidRPr="00D22594">
        <w:rPr>
          <w:rFonts w:ascii="Arial" w:hAnsi="Arial" w:cs="Arial"/>
        </w:rPr>
        <w:t>měl</w:t>
      </w:r>
      <w:r>
        <w:rPr>
          <w:rFonts w:ascii="Arial" w:hAnsi="Arial" w:cs="Arial"/>
        </w:rPr>
        <w:t>a</w:t>
      </w:r>
      <w:r w:rsidRPr="00D22594">
        <w:rPr>
          <w:rFonts w:ascii="Arial" w:hAnsi="Arial" w:cs="Arial"/>
        </w:rPr>
        <w:t xml:space="preserve"> tyto zásoby</w:t>
      </w:r>
      <w:r w:rsidRPr="00861A40">
        <w:rPr>
          <w:rFonts w:ascii="Arial" w:hAnsi="Arial" w:cs="Arial"/>
        </w:rPr>
        <w:t xml:space="preserve"> zahrnuty</w:t>
      </w:r>
      <w:r w:rsidRPr="00D22594">
        <w:rPr>
          <w:rFonts w:ascii="Arial" w:hAnsi="Arial" w:cs="Arial"/>
        </w:rPr>
        <w:t xml:space="preserve"> v</w:t>
      </w:r>
      <w:r w:rsidRPr="00861A40">
        <w:rPr>
          <w:rFonts w:ascii="Arial" w:hAnsi="Arial" w:cs="Arial"/>
        </w:rPr>
        <w:t> obchodním</w:t>
      </w:r>
      <w:r w:rsidRPr="00D22594">
        <w:rPr>
          <w:rFonts w:ascii="Arial" w:hAnsi="Arial" w:cs="Arial"/>
        </w:rPr>
        <w:t xml:space="preserve"> majetku.</w:t>
      </w:r>
      <w:r w:rsidRPr="00861A40">
        <w:rPr>
          <w:rFonts w:ascii="Arial" w:hAnsi="Arial" w:cs="Arial"/>
        </w:rPr>
        <w:t xml:space="preserve"> Smyslem úpravy</w:t>
      </w:r>
      <w:r w:rsidRPr="00D22594">
        <w:rPr>
          <w:rFonts w:ascii="Arial" w:hAnsi="Arial" w:cs="Arial"/>
        </w:rPr>
        <w:t xml:space="preserve"> § 24</w:t>
      </w:r>
      <w:r w:rsidRPr="00861A40">
        <w:rPr>
          <w:rFonts w:ascii="Arial" w:hAnsi="Arial" w:cs="Arial"/>
        </w:rPr>
        <w:t xml:space="preserve"> odst</w:t>
      </w:r>
      <w:r w:rsidRPr="00D22594">
        <w:rPr>
          <w:rFonts w:ascii="Arial" w:hAnsi="Arial" w:cs="Arial"/>
        </w:rPr>
        <w:t>. 11 ZDP je</w:t>
      </w:r>
      <w:r w:rsidRPr="00861A40">
        <w:rPr>
          <w:rFonts w:ascii="Arial" w:hAnsi="Arial" w:cs="Arial"/>
        </w:rPr>
        <w:t xml:space="preserve"> zamezení tzv</w:t>
      </w:r>
      <w:r w:rsidRPr="00D22594">
        <w:rPr>
          <w:rFonts w:ascii="Arial" w:hAnsi="Arial" w:cs="Arial"/>
        </w:rPr>
        <w:t>.</w:t>
      </w:r>
      <w:r w:rsidRPr="00861A40">
        <w:rPr>
          <w:rFonts w:ascii="Arial" w:hAnsi="Arial" w:cs="Arial"/>
        </w:rPr>
        <w:t xml:space="preserve"> </w:t>
      </w:r>
      <w:proofErr w:type="gramStart"/>
      <w:r w:rsidRPr="00861A40">
        <w:rPr>
          <w:rFonts w:ascii="Arial" w:hAnsi="Arial" w:cs="Arial"/>
        </w:rPr>
        <w:t>přeceňovacího</w:t>
      </w:r>
      <w:proofErr w:type="gramEnd"/>
      <w:r w:rsidRPr="00861A40">
        <w:rPr>
          <w:rFonts w:ascii="Arial" w:hAnsi="Arial" w:cs="Arial"/>
        </w:rPr>
        <w:t xml:space="preserve"> efektu</w:t>
      </w:r>
      <w:r w:rsidRPr="00D22594">
        <w:rPr>
          <w:rFonts w:ascii="Arial" w:hAnsi="Arial" w:cs="Arial"/>
        </w:rPr>
        <w:t xml:space="preserve"> a</w:t>
      </w:r>
      <w:r w:rsidRPr="00861A40">
        <w:rPr>
          <w:rFonts w:ascii="Arial" w:hAnsi="Arial" w:cs="Arial"/>
        </w:rPr>
        <w:t xml:space="preserve"> zachování</w:t>
      </w:r>
      <w:r w:rsidRPr="00D22594">
        <w:rPr>
          <w:rFonts w:ascii="Arial" w:hAnsi="Arial" w:cs="Arial"/>
        </w:rPr>
        <w:t xml:space="preserve"> z</w:t>
      </w:r>
      <w:r w:rsidRPr="00861A40">
        <w:rPr>
          <w:rFonts w:ascii="Arial" w:hAnsi="Arial" w:cs="Arial"/>
        </w:rPr>
        <w:t> pohledu daňového</w:t>
      </w:r>
      <w:r w:rsidRPr="00D22594">
        <w:rPr>
          <w:rFonts w:ascii="Arial" w:hAnsi="Arial" w:cs="Arial"/>
        </w:rPr>
        <w:t xml:space="preserve"> původních cen u převodce. </w:t>
      </w:r>
    </w:p>
    <w:p w:rsidR="00855261" w:rsidRDefault="00855261" w:rsidP="00855261">
      <w:pPr>
        <w:jc w:val="both"/>
        <w:rPr>
          <w:rFonts w:ascii="Arial" w:hAnsi="Arial" w:cs="Arial"/>
        </w:rPr>
      </w:pPr>
    </w:p>
    <w:p w:rsidR="00855261" w:rsidRDefault="00855261" w:rsidP="00855261">
      <w:pPr>
        <w:jc w:val="both"/>
        <w:rPr>
          <w:rFonts w:ascii="Arial" w:hAnsi="Arial" w:cs="Arial"/>
        </w:rPr>
      </w:pPr>
      <w:r w:rsidRPr="00D22594">
        <w:rPr>
          <w:rFonts w:ascii="Arial" w:hAnsi="Arial" w:cs="Arial"/>
        </w:rPr>
        <w:t xml:space="preserve">Ustanovení takto reguluje i situace, kdy dochází k násobným vkladům či přeměnám. </w:t>
      </w:r>
    </w:p>
    <w:p w:rsidR="00855261" w:rsidRDefault="00855261" w:rsidP="00855261">
      <w:pPr>
        <w:jc w:val="both"/>
        <w:rPr>
          <w:rFonts w:ascii="Arial" w:hAnsi="Arial" w:cs="Arial"/>
        </w:rPr>
      </w:pPr>
      <w:r w:rsidRPr="00D22594">
        <w:rPr>
          <w:rFonts w:ascii="Arial" w:hAnsi="Arial" w:cs="Arial"/>
        </w:rPr>
        <w:lastRenderedPageBreak/>
        <w:t xml:space="preserve">Z jazykového vyjádření § 24 odst. 11 ZDP by se </w:t>
      </w:r>
      <w:proofErr w:type="gramStart"/>
      <w:r w:rsidRPr="00D22594">
        <w:rPr>
          <w:rFonts w:ascii="Arial" w:hAnsi="Arial" w:cs="Arial"/>
        </w:rPr>
        <w:t>na</w:t>
      </w:r>
      <w:proofErr w:type="gramEnd"/>
      <w:r w:rsidRPr="00D22594">
        <w:rPr>
          <w:rFonts w:ascii="Arial" w:hAnsi="Arial" w:cs="Arial"/>
        </w:rPr>
        <w:t xml:space="preserve"> první pohled mohlo zdát, že jde o regulaci pouze maximální hodnoty, kterou z hlediska daňového je možné dát do daňových nákladů. Nicméně se domníváme, že z hlediska principu a podstaty dané regulace</w:t>
      </w:r>
      <w:r>
        <w:rPr>
          <w:rFonts w:ascii="Arial" w:hAnsi="Arial" w:cs="Arial"/>
        </w:rPr>
        <w:t xml:space="preserve"> (to je při zohlednění jiného než pouze jazykového výkladu daného ustanovení a zásady v pochybnostech ve prospěch daňového subjektu)</w:t>
      </w:r>
      <w:r w:rsidRPr="00D22594">
        <w:rPr>
          <w:rFonts w:ascii="Arial" w:hAnsi="Arial" w:cs="Arial"/>
        </w:rPr>
        <w:t xml:space="preserve"> by tento systém </w:t>
      </w:r>
      <w:proofErr w:type="gramStart"/>
      <w:r w:rsidRPr="00D22594">
        <w:rPr>
          <w:rFonts w:ascii="Arial" w:hAnsi="Arial" w:cs="Arial"/>
        </w:rPr>
        <w:t>měl</w:t>
      </w:r>
      <w:proofErr w:type="gramEnd"/>
      <w:r w:rsidRPr="00D22594">
        <w:rPr>
          <w:rFonts w:ascii="Arial" w:hAnsi="Arial" w:cs="Arial"/>
        </w:rPr>
        <w:t xml:space="preserve"> být aplikován i v situacích, kdy v rámci vyčlenění či vkladu dojde k ocenění na nižší částku, než v jaké byly zásoby zachyceny u převodce. </w:t>
      </w:r>
      <w:r>
        <w:rPr>
          <w:rFonts w:ascii="Arial" w:hAnsi="Arial" w:cs="Arial"/>
        </w:rPr>
        <w:t xml:space="preserve">V takovéto situaci by </w:t>
      </w:r>
      <w:proofErr w:type="gramStart"/>
      <w:r>
        <w:rPr>
          <w:rFonts w:ascii="Arial" w:hAnsi="Arial" w:cs="Arial"/>
        </w:rPr>
        <w:t>měl</w:t>
      </w:r>
      <w:proofErr w:type="gramEnd"/>
      <w:r>
        <w:rPr>
          <w:rFonts w:ascii="Arial" w:hAnsi="Arial" w:cs="Arial"/>
        </w:rPr>
        <w:t xml:space="preserve"> rozdíl mezi vyšší původní cenou u převodce a nižším oceněním u nabyvatele základ daně snižovat.</w:t>
      </w:r>
    </w:p>
    <w:p w:rsidR="00855261" w:rsidRDefault="00855261" w:rsidP="00855261">
      <w:pPr>
        <w:jc w:val="both"/>
        <w:rPr>
          <w:rFonts w:ascii="Arial" w:hAnsi="Arial" w:cs="Arial"/>
        </w:rPr>
      </w:pPr>
    </w:p>
    <w:p w:rsidR="00855261" w:rsidRPr="00FE12B8" w:rsidRDefault="00855261" w:rsidP="00855261">
      <w:pPr>
        <w:jc w:val="both"/>
        <w:rPr>
          <w:rFonts w:ascii="Arial" w:hAnsi="Arial" w:cs="Arial"/>
        </w:rPr>
      </w:pPr>
      <w:r w:rsidRPr="00FE12B8">
        <w:rPr>
          <w:rFonts w:ascii="Arial" w:hAnsi="Arial" w:cs="Arial"/>
        </w:rPr>
        <w:t xml:space="preserve">Na druhé straně ustanovení § 24 odst. 11 ZDP nedopadá </w:t>
      </w:r>
      <w:proofErr w:type="gramStart"/>
      <w:r w:rsidRPr="00FE12B8">
        <w:rPr>
          <w:rFonts w:ascii="Arial" w:hAnsi="Arial" w:cs="Arial"/>
        </w:rPr>
        <w:t>na</w:t>
      </w:r>
      <w:proofErr w:type="gramEnd"/>
      <w:r w:rsidRPr="00FE12B8">
        <w:rPr>
          <w:rFonts w:ascii="Arial" w:hAnsi="Arial" w:cs="Arial"/>
        </w:rPr>
        <w:t xml:space="preserve"> situaci, kdy převodcem zásob je fyzická osoba, která neměla tyto zásoby zahrnuty v obchodním majetku. V takové situaci se domníváme</w:t>
      </w:r>
      <w:r>
        <w:rPr>
          <w:rFonts w:ascii="Arial" w:hAnsi="Arial" w:cs="Arial"/>
        </w:rPr>
        <w:t>,</w:t>
      </w:r>
      <w:r w:rsidRPr="00FE12B8">
        <w:rPr>
          <w:rFonts w:ascii="Arial" w:hAnsi="Arial" w:cs="Arial"/>
        </w:rPr>
        <w:t xml:space="preserve"> a to i v návaznosti </w:t>
      </w:r>
      <w:proofErr w:type="gramStart"/>
      <w:r w:rsidRPr="00FE12B8">
        <w:rPr>
          <w:rFonts w:ascii="Arial" w:hAnsi="Arial" w:cs="Arial"/>
        </w:rPr>
        <w:t>na</w:t>
      </w:r>
      <w:proofErr w:type="gramEnd"/>
      <w:r w:rsidRPr="00FE12B8">
        <w:rPr>
          <w:rFonts w:ascii="Arial" w:hAnsi="Arial" w:cs="Arial"/>
        </w:rPr>
        <w:t xml:space="preserve"> závěry k</w:t>
      </w:r>
      <w:r>
        <w:rPr>
          <w:rFonts w:ascii="Arial" w:hAnsi="Arial" w:cs="Arial"/>
        </w:rPr>
        <w:t xml:space="preserve"> předchozímu KV </w:t>
      </w:r>
      <w:r w:rsidRPr="00FE12B8">
        <w:rPr>
          <w:rFonts w:ascii="Arial" w:hAnsi="Arial" w:cs="Arial"/>
        </w:rPr>
        <w:t>(</w:t>
      </w:r>
      <w:r w:rsidRPr="00FE12B8">
        <w:rPr>
          <w:rFonts w:ascii="Arial" w:hAnsi="Arial" w:cs="Arial"/>
          <w:i/>
          <w:shd w:val="clear" w:color="auto" w:fill="FFFFFF"/>
        </w:rPr>
        <w:t>573/24.03.21)</w:t>
      </w:r>
      <w:r w:rsidRPr="00FE12B8">
        <w:rPr>
          <w:rFonts w:ascii="Arial" w:hAnsi="Arial" w:cs="Arial"/>
        </w:rPr>
        <w:t xml:space="preserve">, že v souladu s § 21h ZDP </w:t>
      </w:r>
      <w:r>
        <w:rPr>
          <w:rFonts w:ascii="Arial" w:hAnsi="Arial" w:cs="Arial"/>
        </w:rPr>
        <w:t xml:space="preserve">bude plně daňově přebíráno účetní zachycení u nabyvatele, </w:t>
      </w:r>
      <w:r w:rsidRPr="00FE12B8">
        <w:rPr>
          <w:rFonts w:ascii="Arial" w:hAnsi="Arial" w:cs="Arial"/>
        </w:rPr>
        <w:t xml:space="preserve">tj. </w:t>
      </w:r>
      <w:proofErr w:type="gramStart"/>
      <w:r w:rsidRPr="00FE12B8">
        <w:rPr>
          <w:rFonts w:ascii="Arial" w:hAnsi="Arial" w:cs="Arial"/>
        </w:rPr>
        <w:t>včetně</w:t>
      </w:r>
      <w:proofErr w:type="gramEnd"/>
      <w:r w:rsidRPr="00FE12B8">
        <w:rPr>
          <w:rFonts w:ascii="Arial" w:hAnsi="Arial" w:cs="Arial"/>
        </w:rPr>
        <w:t xml:space="preserve"> cen, ve kterých budou tyto zásoby oceněny v účetnictví nabyvatele bez jakéhokoliv omezení. </w:t>
      </w:r>
    </w:p>
    <w:p w:rsidR="00855261" w:rsidRDefault="00855261" w:rsidP="00855261">
      <w:pPr>
        <w:jc w:val="both"/>
        <w:rPr>
          <w:rFonts w:ascii="Arial" w:hAnsi="Arial" w:cs="Arial"/>
          <w:u w:val="single"/>
        </w:rPr>
      </w:pPr>
    </w:p>
    <w:p w:rsidR="00855261" w:rsidRPr="00930E8D" w:rsidRDefault="00855261" w:rsidP="00855261">
      <w:pPr>
        <w:jc w:val="both"/>
        <w:rPr>
          <w:rFonts w:ascii="Arial" w:hAnsi="Arial" w:cs="Arial"/>
          <w:u w:val="single"/>
        </w:rPr>
      </w:pPr>
      <w:r>
        <w:rPr>
          <w:rFonts w:ascii="Arial" w:hAnsi="Arial" w:cs="Arial"/>
          <w:u w:val="single"/>
        </w:rPr>
        <w:t>1.1</w:t>
      </w:r>
      <w:proofErr w:type="gramStart"/>
      <w:r>
        <w:rPr>
          <w:rFonts w:ascii="Arial" w:hAnsi="Arial" w:cs="Arial"/>
          <w:u w:val="single"/>
        </w:rPr>
        <w:t>.</w:t>
      </w:r>
      <w:r w:rsidRPr="00930E8D">
        <w:rPr>
          <w:rFonts w:ascii="Arial" w:hAnsi="Arial" w:cs="Arial"/>
          <w:u w:val="single"/>
        </w:rPr>
        <w:t>Závěry</w:t>
      </w:r>
      <w:proofErr w:type="gramEnd"/>
    </w:p>
    <w:p w:rsidR="00855261" w:rsidRDefault="00855261" w:rsidP="00855261">
      <w:pPr>
        <w:jc w:val="both"/>
        <w:rPr>
          <w:rFonts w:ascii="Arial" w:hAnsi="Arial" w:cs="Arial"/>
          <w:u w:val="single"/>
        </w:rPr>
      </w:pPr>
    </w:p>
    <w:p w:rsidR="00855261" w:rsidRPr="00930E8D" w:rsidRDefault="00855261" w:rsidP="00855261">
      <w:pPr>
        <w:jc w:val="both"/>
        <w:rPr>
          <w:rFonts w:ascii="Arial" w:hAnsi="Arial" w:cs="Arial"/>
          <w:u w:val="single"/>
        </w:rPr>
      </w:pPr>
      <w:r w:rsidRPr="00930E8D">
        <w:rPr>
          <w:rFonts w:ascii="Arial" w:hAnsi="Arial" w:cs="Arial"/>
          <w:u w:val="single"/>
        </w:rPr>
        <w:t xml:space="preserve">1.1.1. </w:t>
      </w:r>
      <w:r>
        <w:rPr>
          <w:rFonts w:ascii="Arial" w:hAnsi="Arial" w:cs="Arial"/>
          <w:u w:val="single"/>
        </w:rPr>
        <w:t xml:space="preserve">Převodce je účetní jednotka </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Pr>
          <w:rFonts w:ascii="Arial" w:hAnsi="Arial" w:cs="Arial"/>
        </w:rPr>
        <w:t xml:space="preserve">1.1.1.1. </w:t>
      </w:r>
      <w:r w:rsidRPr="00D22594">
        <w:rPr>
          <w:rFonts w:ascii="Arial" w:hAnsi="Arial" w:cs="Arial"/>
        </w:rPr>
        <w:t>Z hlediska uplatnění do daňových výdajů</w:t>
      </w:r>
      <w:r>
        <w:rPr>
          <w:rFonts w:ascii="Arial" w:hAnsi="Arial" w:cs="Arial"/>
        </w:rPr>
        <w:t xml:space="preserve"> u nabyvatele</w:t>
      </w:r>
      <w:r w:rsidRPr="00D22594">
        <w:rPr>
          <w:rFonts w:ascii="Arial" w:hAnsi="Arial" w:cs="Arial"/>
        </w:rPr>
        <w:t xml:space="preserve"> platí omezení dle § 24 odst. 11 ZDP, tj. </w:t>
      </w:r>
      <w:proofErr w:type="gramStart"/>
      <w:r w:rsidRPr="00D22594">
        <w:rPr>
          <w:rFonts w:ascii="Arial" w:hAnsi="Arial" w:cs="Arial"/>
        </w:rPr>
        <w:t>do</w:t>
      </w:r>
      <w:proofErr w:type="gramEnd"/>
      <w:r w:rsidRPr="00D22594">
        <w:rPr>
          <w:rFonts w:ascii="Arial" w:hAnsi="Arial" w:cs="Arial"/>
        </w:rPr>
        <w:t xml:space="preserve"> daňově relevantních nákladů je možné uplatnit</w:t>
      </w:r>
      <w:r>
        <w:rPr>
          <w:rFonts w:ascii="Arial" w:hAnsi="Arial" w:cs="Arial"/>
        </w:rPr>
        <w:t xml:space="preserve"> maximálně</w:t>
      </w:r>
      <w:r w:rsidRPr="00D22594">
        <w:rPr>
          <w:rFonts w:ascii="Arial" w:hAnsi="Arial" w:cs="Arial"/>
        </w:rPr>
        <w:t xml:space="preserve"> částku zachycenou v účetnictví převodce při zohlednění případných účetních</w:t>
      </w:r>
      <w:r>
        <w:rPr>
          <w:rFonts w:ascii="Arial" w:hAnsi="Arial" w:cs="Arial"/>
        </w:rPr>
        <w:t xml:space="preserve"> opravných položek</w:t>
      </w:r>
      <w:r w:rsidRPr="00D22594">
        <w:rPr>
          <w:rFonts w:ascii="Arial" w:hAnsi="Arial" w:cs="Arial"/>
        </w:rPr>
        <w:t xml:space="preserve"> </w:t>
      </w:r>
      <w:r>
        <w:rPr>
          <w:rFonts w:ascii="Arial" w:hAnsi="Arial" w:cs="Arial"/>
        </w:rPr>
        <w:t>(</w:t>
      </w:r>
      <w:r w:rsidRPr="00D22594">
        <w:rPr>
          <w:rFonts w:ascii="Arial" w:hAnsi="Arial" w:cs="Arial"/>
        </w:rPr>
        <w:t>§ 24 odst. 11 ZDP</w:t>
      </w:r>
      <w:r>
        <w:rPr>
          <w:rFonts w:ascii="Arial" w:hAnsi="Arial" w:cs="Arial"/>
        </w:rPr>
        <w:t>)</w:t>
      </w:r>
      <w:r w:rsidRPr="00D22594">
        <w:rPr>
          <w:rFonts w:ascii="Arial" w:hAnsi="Arial" w:cs="Arial"/>
        </w:rPr>
        <w:t>.</w:t>
      </w:r>
    </w:p>
    <w:p w:rsidR="00855261" w:rsidRPr="00D22594" w:rsidRDefault="00855261" w:rsidP="00855261">
      <w:pPr>
        <w:jc w:val="both"/>
        <w:rPr>
          <w:rFonts w:ascii="Arial" w:hAnsi="Arial" w:cs="Arial"/>
        </w:rPr>
      </w:pPr>
      <w:r>
        <w:rPr>
          <w:rFonts w:ascii="Arial" w:hAnsi="Arial" w:cs="Arial"/>
        </w:rPr>
        <w:t>1.1.1.2.</w:t>
      </w:r>
      <w:r w:rsidRPr="00D22594">
        <w:rPr>
          <w:rFonts w:ascii="Arial" w:hAnsi="Arial" w:cs="Arial"/>
        </w:rPr>
        <w:t xml:space="preserve"> Pokud by došlo k tomu, že zásoby budou v rámci vkladu či vyčlenění oceněny nižší částkou</w:t>
      </w:r>
      <w:r>
        <w:rPr>
          <w:rFonts w:ascii="Arial" w:hAnsi="Arial" w:cs="Arial"/>
        </w:rPr>
        <w:t>,</w:t>
      </w:r>
      <w:r w:rsidRPr="00D22594">
        <w:rPr>
          <w:rFonts w:ascii="Arial" w:hAnsi="Arial" w:cs="Arial"/>
        </w:rPr>
        <w:t xml:space="preserve"> než je </w:t>
      </w:r>
      <w:r>
        <w:rPr>
          <w:rFonts w:ascii="Arial" w:hAnsi="Arial" w:cs="Arial"/>
        </w:rPr>
        <w:t>původní cena</w:t>
      </w:r>
      <w:r w:rsidRPr="00D22594">
        <w:rPr>
          <w:rFonts w:ascii="Arial" w:hAnsi="Arial" w:cs="Arial"/>
        </w:rPr>
        <w:t xml:space="preserve"> u převodce, bude v případě spotřeby možné </w:t>
      </w:r>
      <w:r>
        <w:rPr>
          <w:rFonts w:ascii="Arial" w:hAnsi="Arial" w:cs="Arial"/>
        </w:rPr>
        <w:t xml:space="preserve">u nabyvatele </w:t>
      </w:r>
      <w:r w:rsidRPr="00D22594">
        <w:rPr>
          <w:rFonts w:ascii="Arial" w:hAnsi="Arial" w:cs="Arial"/>
        </w:rPr>
        <w:t xml:space="preserve">rozdíl uplatnit jako položku snižující základ </w:t>
      </w:r>
      <w:proofErr w:type="gramStart"/>
      <w:r w:rsidRPr="00D22594">
        <w:rPr>
          <w:rFonts w:ascii="Arial" w:hAnsi="Arial" w:cs="Arial"/>
        </w:rPr>
        <w:t>daně</w:t>
      </w:r>
      <w:proofErr w:type="gramEnd"/>
      <w:r w:rsidRPr="00D22594">
        <w:rPr>
          <w:rFonts w:ascii="Arial" w:hAnsi="Arial" w:cs="Arial"/>
        </w:rPr>
        <w:t xml:space="preserve">. </w:t>
      </w:r>
    </w:p>
    <w:p w:rsidR="00855261" w:rsidRPr="00D22594" w:rsidRDefault="00855261" w:rsidP="00855261">
      <w:pPr>
        <w:jc w:val="both"/>
        <w:rPr>
          <w:rFonts w:ascii="Arial" w:hAnsi="Arial" w:cs="Arial"/>
        </w:rPr>
      </w:pPr>
      <w:r>
        <w:rPr>
          <w:rFonts w:ascii="Arial" w:hAnsi="Arial" w:cs="Arial"/>
        </w:rPr>
        <w:t xml:space="preserve">1.1.1.3. </w:t>
      </w:r>
      <w:r w:rsidRPr="00D22594">
        <w:rPr>
          <w:rFonts w:ascii="Arial" w:hAnsi="Arial" w:cs="Arial"/>
        </w:rPr>
        <w:t>Výše uvedené omezení se uplatní i v případě, kdy došlo k opakovaným vkladům či přeměnám.</w:t>
      </w:r>
    </w:p>
    <w:p w:rsidR="00855261" w:rsidRDefault="00855261" w:rsidP="00855261">
      <w:pPr>
        <w:jc w:val="both"/>
        <w:rPr>
          <w:rFonts w:ascii="Arial" w:hAnsi="Arial" w:cs="Arial"/>
        </w:rPr>
      </w:pPr>
    </w:p>
    <w:p w:rsidR="00855261" w:rsidRDefault="00855261" w:rsidP="00855261">
      <w:pPr>
        <w:jc w:val="both"/>
        <w:rPr>
          <w:rFonts w:ascii="Arial" w:hAnsi="Arial" w:cs="Arial"/>
          <w:u w:val="single"/>
        </w:rPr>
      </w:pPr>
      <w:r w:rsidRPr="00930E8D">
        <w:rPr>
          <w:rFonts w:ascii="Arial" w:hAnsi="Arial" w:cs="Arial"/>
          <w:u w:val="single"/>
        </w:rPr>
        <w:t>1.1.2</w:t>
      </w:r>
      <w:proofErr w:type="gramStart"/>
      <w:r w:rsidRPr="00930E8D">
        <w:rPr>
          <w:rFonts w:ascii="Arial" w:hAnsi="Arial" w:cs="Arial"/>
          <w:u w:val="single"/>
        </w:rPr>
        <w:t>.Převodcem</w:t>
      </w:r>
      <w:proofErr w:type="gramEnd"/>
      <w:r w:rsidRPr="00930E8D">
        <w:rPr>
          <w:rFonts w:ascii="Arial" w:hAnsi="Arial" w:cs="Arial"/>
          <w:u w:val="single"/>
        </w:rPr>
        <w:t xml:space="preserve"> je fyzická osoba, která měla záso</w:t>
      </w:r>
      <w:r>
        <w:rPr>
          <w:rFonts w:ascii="Arial" w:hAnsi="Arial" w:cs="Arial"/>
          <w:u w:val="single"/>
        </w:rPr>
        <w:t>by zahrnuty v obchodním majetku</w:t>
      </w:r>
      <w:r w:rsidRPr="00930E8D">
        <w:rPr>
          <w:rFonts w:ascii="Arial" w:hAnsi="Arial" w:cs="Arial"/>
          <w:u w:val="single"/>
        </w:rPr>
        <w:t xml:space="preserve"> </w:t>
      </w:r>
    </w:p>
    <w:p w:rsidR="00855261" w:rsidRDefault="00855261" w:rsidP="00855261">
      <w:pPr>
        <w:jc w:val="both"/>
        <w:rPr>
          <w:rFonts w:ascii="Arial" w:hAnsi="Arial" w:cs="Arial"/>
        </w:rPr>
      </w:pPr>
    </w:p>
    <w:p w:rsidR="00855261" w:rsidRDefault="00855261" w:rsidP="00855261">
      <w:pPr>
        <w:jc w:val="both"/>
        <w:rPr>
          <w:rFonts w:ascii="Arial" w:hAnsi="Arial" w:cs="Arial"/>
        </w:rPr>
      </w:pPr>
      <w:r w:rsidRPr="00930E8D">
        <w:rPr>
          <w:rFonts w:ascii="Arial" w:hAnsi="Arial" w:cs="Arial"/>
        </w:rPr>
        <w:t>1.1.2.1. V tomto případě platí obdobné o</w:t>
      </w:r>
      <w:r>
        <w:rPr>
          <w:rFonts w:ascii="Arial" w:hAnsi="Arial" w:cs="Arial"/>
        </w:rPr>
        <w:t xml:space="preserve">mezení ve výši </w:t>
      </w:r>
      <w:r w:rsidRPr="00930E8D">
        <w:rPr>
          <w:rFonts w:ascii="Arial" w:hAnsi="Arial" w:cs="Arial"/>
        </w:rPr>
        <w:t>hodnoty zachycené v daňové evidenci obdobně jako v předchozím případě</w:t>
      </w:r>
      <w:r>
        <w:rPr>
          <w:rFonts w:ascii="Arial" w:hAnsi="Arial" w:cs="Arial"/>
        </w:rPr>
        <w:t xml:space="preserve"> </w:t>
      </w:r>
      <w:r w:rsidRPr="00930E8D">
        <w:rPr>
          <w:rFonts w:ascii="Arial" w:hAnsi="Arial" w:cs="Arial"/>
        </w:rPr>
        <w:t>1.1.1.</w:t>
      </w:r>
      <w:r>
        <w:rPr>
          <w:rFonts w:ascii="Arial" w:hAnsi="Arial" w:cs="Arial"/>
        </w:rPr>
        <w:t>,</w:t>
      </w:r>
      <w:r w:rsidRPr="00930E8D">
        <w:rPr>
          <w:rFonts w:ascii="Arial" w:hAnsi="Arial" w:cs="Arial"/>
        </w:rPr>
        <w:t xml:space="preserve"> a to v souladu s § 24 odst. 11 ZDP.</w:t>
      </w:r>
      <w:r>
        <w:rPr>
          <w:rFonts w:ascii="Arial" w:hAnsi="Arial" w:cs="Arial"/>
        </w:rPr>
        <w:t xml:space="preserve"> V zásadě ve většině případů půjde o pořizovací cenu zásob.</w:t>
      </w:r>
    </w:p>
    <w:p w:rsidR="00855261" w:rsidRPr="00D22594" w:rsidRDefault="00855261" w:rsidP="00855261">
      <w:pPr>
        <w:jc w:val="both"/>
        <w:rPr>
          <w:rFonts w:ascii="Arial" w:hAnsi="Arial" w:cs="Arial"/>
        </w:rPr>
      </w:pPr>
      <w:r>
        <w:rPr>
          <w:rFonts w:ascii="Arial" w:hAnsi="Arial" w:cs="Arial"/>
        </w:rPr>
        <w:t>1.1.1.2.</w:t>
      </w:r>
      <w:r w:rsidRPr="00D22594">
        <w:rPr>
          <w:rFonts w:ascii="Arial" w:hAnsi="Arial" w:cs="Arial"/>
        </w:rPr>
        <w:t xml:space="preserve"> Pokud by došlo k tomu, že zásoby budou v rámci vkladu či vyčlenění ocen</w:t>
      </w:r>
      <w:r>
        <w:rPr>
          <w:rFonts w:ascii="Arial" w:hAnsi="Arial" w:cs="Arial"/>
        </w:rPr>
        <w:t xml:space="preserve">ěny nižší částkou, než je </w:t>
      </w:r>
      <w:r w:rsidRPr="00D22594">
        <w:rPr>
          <w:rFonts w:ascii="Arial" w:hAnsi="Arial" w:cs="Arial"/>
        </w:rPr>
        <w:t>hodnota</w:t>
      </w:r>
      <w:r>
        <w:rPr>
          <w:rFonts w:ascii="Arial" w:hAnsi="Arial" w:cs="Arial"/>
        </w:rPr>
        <w:t xml:space="preserve"> původní cena zachycená v daňové evidenci</w:t>
      </w:r>
      <w:r w:rsidRPr="00D22594">
        <w:rPr>
          <w:rFonts w:ascii="Arial" w:hAnsi="Arial" w:cs="Arial"/>
        </w:rPr>
        <w:t xml:space="preserve"> u převodce, bude v případě spotřeby možné </w:t>
      </w:r>
      <w:r>
        <w:rPr>
          <w:rFonts w:ascii="Arial" w:hAnsi="Arial" w:cs="Arial"/>
        </w:rPr>
        <w:t xml:space="preserve">u nabyvatele </w:t>
      </w:r>
      <w:r w:rsidRPr="00D22594">
        <w:rPr>
          <w:rFonts w:ascii="Arial" w:hAnsi="Arial" w:cs="Arial"/>
        </w:rPr>
        <w:t xml:space="preserve">rozdíl uplatnit jako položku snižující základ </w:t>
      </w:r>
      <w:proofErr w:type="gramStart"/>
      <w:r w:rsidRPr="00D22594">
        <w:rPr>
          <w:rFonts w:ascii="Arial" w:hAnsi="Arial" w:cs="Arial"/>
        </w:rPr>
        <w:t>daně</w:t>
      </w:r>
      <w:proofErr w:type="gramEnd"/>
      <w:r w:rsidRPr="00D22594">
        <w:rPr>
          <w:rFonts w:ascii="Arial" w:hAnsi="Arial" w:cs="Arial"/>
        </w:rPr>
        <w:t xml:space="preserve">. </w:t>
      </w:r>
    </w:p>
    <w:p w:rsidR="00855261" w:rsidRDefault="00855261" w:rsidP="00855261">
      <w:pPr>
        <w:jc w:val="both"/>
        <w:rPr>
          <w:rFonts w:ascii="Arial" w:hAnsi="Arial" w:cs="Arial"/>
          <w:u w:val="single"/>
        </w:rPr>
      </w:pPr>
    </w:p>
    <w:p w:rsidR="00855261" w:rsidRPr="00E8146A" w:rsidRDefault="00855261" w:rsidP="00855261">
      <w:pPr>
        <w:jc w:val="both"/>
        <w:rPr>
          <w:rFonts w:ascii="Arial" w:hAnsi="Arial" w:cs="Arial"/>
          <w:u w:val="single"/>
        </w:rPr>
      </w:pPr>
      <w:r w:rsidRPr="00E8146A">
        <w:rPr>
          <w:rFonts w:ascii="Arial" w:hAnsi="Arial" w:cs="Arial"/>
          <w:u w:val="single"/>
        </w:rPr>
        <w:t xml:space="preserve">1.1.3. Převodce je fyzická osoba, která neměla zásoby zahrnuty v obchodním majetku. </w:t>
      </w:r>
    </w:p>
    <w:p w:rsidR="00855261" w:rsidRDefault="00855261" w:rsidP="00855261">
      <w:pPr>
        <w:jc w:val="both"/>
        <w:rPr>
          <w:rFonts w:ascii="Arial" w:hAnsi="Arial" w:cs="Arial"/>
        </w:rPr>
      </w:pPr>
    </w:p>
    <w:p w:rsidR="00855261" w:rsidRDefault="00855261" w:rsidP="00855261">
      <w:pPr>
        <w:jc w:val="both"/>
        <w:rPr>
          <w:rFonts w:ascii="Arial" w:hAnsi="Arial" w:cs="Arial"/>
        </w:rPr>
      </w:pPr>
      <w:r w:rsidRPr="00E8146A">
        <w:rPr>
          <w:rFonts w:ascii="Arial" w:hAnsi="Arial" w:cs="Arial"/>
        </w:rPr>
        <w:t>V tomto případě se úprava § 24 odst. 11 ZDP nep</w:t>
      </w:r>
      <w:r>
        <w:rPr>
          <w:rFonts w:ascii="Arial" w:hAnsi="Arial" w:cs="Arial"/>
        </w:rPr>
        <w:t>oužije a na základě § 21</w:t>
      </w:r>
      <w:r w:rsidRPr="00E8146A">
        <w:rPr>
          <w:rFonts w:ascii="Arial" w:hAnsi="Arial" w:cs="Arial"/>
        </w:rPr>
        <w:t>h ZDP a v souladu ze závěry k</w:t>
      </w:r>
      <w:r>
        <w:rPr>
          <w:rFonts w:ascii="Arial" w:hAnsi="Arial" w:cs="Arial"/>
        </w:rPr>
        <w:t xml:space="preserve"> předchozímu KV </w:t>
      </w:r>
      <w:r w:rsidRPr="00E8146A">
        <w:rPr>
          <w:rFonts w:ascii="Arial" w:hAnsi="Arial" w:cs="Arial"/>
        </w:rPr>
        <w:t>(</w:t>
      </w:r>
      <w:r w:rsidRPr="00E8146A">
        <w:rPr>
          <w:rFonts w:ascii="Arial" w:hAnsi="Arial" w:cs="Arial"/>
          <w:shd w:val="clear" w:color="auto" w:fill="FFFFFF"/>
        </w:rPr>
        <w:t>573/24.03.21)</w:t>
      </w:r>
      <w:r w:rsidRPr="00E8146A">
        <w:rPr>
          <w:rFonts w:ascii="Arial" w:hAnsi="Arial" w:cs="Arial"/>
        </w:rPr>
        <w:t xml:space="preserve"> bude plně přejímán postup z</w:t>
      </w:r>
      <w:r>
        <w:rPr>
          <w:rFonts w:ascii="Arial" w:hAnsi="Arial" w:cs="Arial"/>
        </w:rPr>
        <w:t> </w:t>
      </w:r>
      <w:r w:rsidRPr="00E8146A">
        <w:rPr>
          <w:rFonts w:ascii="Arial" w:hAnsi="Arial" w:cs="Arial"/>
        </w:rPr>
        <w:t>účetnictví</w:t>
      </w:r>
      <w:r>
        <w:rPr>
          <w:rFonts w:ascii="Arial" w:hAnsi="Arial" w:cs="Arial"/>
        </w:rPr>
        <w:t xml:space="preserve"> nabyvatele</w:t>
      </w:r>
      <w:r w:rsidRPr="00E8146A">
        <w:rPr>
          <w:rFonts w:ascii="Arial" w:hAnsi="Arial" w:cs="Arial"/>
        </w:rPr>
        <w:t>, to znamená, že daňově relevantním nákladem v případě spotřeby bude účetní hodnota zásob zachycená u nabyvatele.</w:t>
      </w:r>
    </w:p>
    <w:p w:rsidR="00855261" w:rsidRDefault="00855261" w:rsidP="00855261">
      <w:pPr>
        <w:jc w:val="both"/>
        <w:rPr>
          <w:rFonts w:ascii="Arial" w:hAnsi="Arial" w:cs="Arial"/>
        </w:rPr>
      </w:pPr>
    </w:p>
    <w:p w:rsidR="00855261" w:rsidRDefault="00855261" w:rsidP="00855261">
      <w:pPr>
        <w:jc w:val="both"/>
        <w:rPr>
          <w:rFonts w:ascii="Arial" w:hAnsi="Arial" w:cs="Arial"/>
        </w:rPr>
      </w:pPr>
    </w:p>
    <w:p w:rsidR="001B2E87" w:rsidRPr="00861A40" w:rsidRDefault="001B2E87" w:rsidP="00855261">
      <w:pPr>
        <w:jc w:val="both"/>
        <w:rPr>
          <w:rFonts w:ascii="Arial" w:hAnsi="Arial" w:cs="Arial"/>
        </w:rPr>
      </w:pPr>
    </w:p>
    <w:p w:rsidR="00855261" w:rsidRDefault="00855261" w:rsidP="00855261">
      <w:pPr>
        <w:jc w:val="both"/>
        <w:rPr>
          <w:rFonts w:ascii="Arial" w:hAnsi="Arial" w:cs="Arial"/>
          <w:b/>
          <w:bCs/>
          <w:iCs/>
          <w:u w:val="single"/>
        </w:rPr>
      </w:pPr>
      <w:r w:rsidRPr="00861A40">
        <w:rPr>
          <w:rFonts w:ascii="Arial" w:hAnsi="Arial" w:cs="Arial"/>
          <w:b/>
          <w:bCs/>
          <w:iCs/>
          <w:highlight w:val="cyan"/>
          <w:u w:val="single"/>
        </w:rPr>
        <w:lastRenderedPageBreak/>
        <w:t>Stanovisko</w:t>
      </w:r>
      <w:r w:rsidRPr="000676B1">
        <w:rPr>
          <w:rFonts w:ascii="Arial" w:hAnsi="Arial" w:cs="Arial"/>
          <w:b/>
          <w:bCs/>
          <w:iCs/>
          <w:highlight w:val="cyan"/>
          <w:u w:val="single"/>
        </w:rPr>
        <w:t xml:space="preserve"> GFŘ</w:t>
      </w:r>
    </w:p>
    <w:p w:rsidR="00855261" w:rsidRPr="0026417A" w:rsidRDefault="00855261" w:rsidP="00855261">
      <w:pPr>
        <w:pStyle w:val="Odstavecseseznamem"/>
        <w:spacing w:after="0" w:line="240" w:lineRule="auto"/>
        <w:ind w:left="0"/>
        <w:jc w:val="both"/>
        <w:rPr>
          <w:rFonts w:ascii="Arial" w:hAnsi="Arial" w:cs="Arial"/>
          <w:b/>
          <w:sz w:val="24"/>
          <w:szCs w:val="24"/>
          <w:highlight w:val="cyan"/>
        </w:rPr>
      </w:pPr>
      <w:r w:rsidRPr="0026417A">
        <w:rPr>
          <w:rFonts w:ascii="Arial" w:hAnsi="Arial" w:cs="Arial"/>
          <w:b/>
          <w:bCs/>
          <w:sz w:val="24"/>
          <w:szCs w:val="24"/>
          <w:highlight w:val="cyan"/>
        </w:rPr>
        <w:t xml:space="preserve">K dílčímu závěru </w:t>
      </w:r>
      <w:r w:rsidRPr="0026417A">
        <w:rPr>
          <w:rFonts w:ascii="Arial" w:hAnsi="Arial" w:cs="Arial"/>
          <w:b/>
          <w:sz w:val="24"/>
          <w:szCs w:val="24"/>
          <w:highlight w:val="cyan"/>
        </w:rPr>
        <w:t xml:space="preserve">č. </w:t>
      </w:r>
      <w:r>
        <w:rPr>
          <w:rFonts w:ascii="Arial" w:hAnsi="Arial" w:cs="Arial"/>
          <w:b/>
          <w:sz w:val="24"/>
          <w:szCs w:val="24"/>
          <w:highlight w:val="cyan"/>
        </w:rPr>
        <w:t>1.1.1. (</w:t>
      </w:r>
      <w:proofErr w:type="gramStart"/>
      <w:r>
        <w:rPr>
          <w:rFonts w:ascii="Arial" w:hAnsi="Arial" w:cs="Arial"/>
          <w:b/>
          <w:sz w:val="24"/>
          <w:szCs w:val="24"/>
          <w:highlight w:val="cyan"/>
        </w:rPr>
        <w:t>převodce</w:t>
      </w:r>
      <w:proofErr w:type="gramEnd"/>
      <w:r>
        <w:rPr>
          <w:rFonts w:ascii="Arial" w:hAnsi="Arial" w:cs="Arial"/>
          <w:b/>
          <w:sz w:val="24"/>
          <w:szCs w:val="24"/>
          <w:highlight w:val="cyan"/>
        </w:rPr>
        <w:t xml:space="preserve"> je obchodní korporace)</w:t>
      </w:r>
    </w:p>
    <w:p w:rsidR="00855261" w:rsidRDefault="00855261" w:rsidP="00855261">
      <w:pPr>
        <w:jc w:val="both"/>
        <w:rPr>
          <w:rFonts w:ascii="Arial" w:hAnsi="Arial" w:cs="Arial"/>
          <w:b/>
          <w:bCs/>
          <w:iCs/>
          <w:u w:val="single"/>
        </w:rPr>
      </w:pPr>
    </w:p>
    <w:p w:rsidR="00855261" w:rsidRPr="006C6BA9" w:rsidRDefault="00855261" w:rsidP="00855261">
      <w:pPr>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w:t>
      </w:r>
      <w:r w:rsidRPr="00861A40">
        <w:rPr>
          <w:rFonts w:ascii="Arial" w:hAnsi="Arial" w:cs="Arial"/>
          <w:b/>
          <w:bCs/>
          <w:iCs/>
          <w:highlight w:val="cyan"/>
          <w:u w:val="single"/>
        </w:rPr>
        <w:t>bodu</w:t>
      </w:r>
      <w:r w:rsidRPr="006C6BA9">
        <w:rPr>
          <w:rFonts w:ascii="Arial" w:hAnsi="Arial" w:cs="Arial"/>
          <w:b/>
          <w:bCs/>
          <w:iCs/>
          <w:highlight w:val="cyan"/>
          <w:u w:val="single"/>
          <w:lang w:val="de-DE"/>
        </w:rPr>
        <w:t xml:space="preserve"> 1.1.1.1.</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že v případě prodeje zásob nabytých vkladem se u nabyvatele uplatní omezení dle § 24 odst. 11 ZDP</w:t>
      </w:r>
      <w:r w:rsidRPr="006C6BA9">
        <w:rPr>
          <w:rFonts w:ascii="Arial" w:hAnsi="Arial" w:cs="Arial"/>
          <w:i/>
          <w:highlight w:val="cyan"/>
        </w:rPr>
        <w:t xml:space="preserve">. </w:t>
      </w:r>
    </w:p>
    <w:p w:rsidR="00855261" w:rsidRPr="006C6BA9" w:rsidRDefault="00855261" w:rsidP="00855261">
      <w:pPr>
        <w:spacing w:before="240"/>
        <w:jc w:val="both"/>
        <w:rPr>
          <w:rFonts w:ascii="Arial" w:hAnsi="Arial" w:cs="Arial"/>
          <w:b/>
          <w:bCs/>
          <w:iCs/>
          <w:highlight w:val="cyan"/>
          <w:u w:val="single"/>
          <w:lang w:val="de-DE"/>
        </w:rPr>
      </w:pPr>
      <w:r w:rsidRPr="006C6BA9">
        <w:rPr>
          <w:rFonts w:ascii="Arial" w:hAnsi="Arial" w:cs="Arial"/>
          <w:b/>
          <w:bCs/>
          <w:iCs/>
          <w:highlight w:val="cyan"/>
          <w:u w:val="single"/>
          <w:lang w:val="de-DE"/>
        </w:rPr>
        <w:t>k</w:t>
      </w:r>
      <w:r w:rsidRPr="00861A40">
        <w:rPr>
          <w:rFonts w:ascii="Arial" w:hAnsi="Arial" w:cs="Arial"/>
          <w:b/>
          <w:bCs/>
          <w:iCs/>
          <w:highlight w:val="cyan"/>
          <w:u w:val="single"/>
        </w:rPr>
        <w:t xml:space="preserve"> bodu</w:t>
      </w:r>
      <w:r w:rsidRPr="006C6BA9">
        <w:rPr>
          <w:rFonts w:ascii="Arial" w:hAnsi="Arial" w:cs="Arial"/>
          <w:b/>
          <w:bCs/>
          <w:iCs/>
          <w:highlight w:val="cyan"/>
          <w:u w:val="single"/>
          <w:lang w:val="de-DE"/>
        </w:rPr>
        <w:t xml:space="preserve"> 1.1.1.</w:t>
      </w:r>
      <w:r>
        <w:rPr>
          <w:rFonts w:ascii="Arial" w:hAnsi="Arial" w:cs="Arial"/>
          <w:b/>
          <w:bCs/>
          <w:iCs/>
          <w:highlight w:val="cyan"/>
          <w:u w:val="single"/>
          <w:lang w:val="de-DE"/>
        </w:rPr>
        <w:t>2</w:t>
      </w:r>
      <w:r w:rsidRPr="006C6BA9">
        <w:rPr>
          <w:rFonts w:ascii="Arial" w:hAnsi="Arial" w:cs="Arial"/>
          <w:b/>
          <w:bCs/>
          <w:iCs/>
          <w:highlight w:val="cyan"/>
          <w:u w:val="single"/>
          <w:lang w:val="de-DE"/>
        </w:rPr>
        <w:t>.</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Nes</w:t>
      </w:r>
      <w:r w:rsidRPr="006C6BA9">
        <w:rPr>
          <w:rFonts w:ascii="Arial" w:hAnsi="Arial" w:cs="Arial"/>
          <w:i/>
          <w:highlight w:val="cyan"/>
        </w:rPr>
        <w:t xml:space="preserve">ouhlas se závěrem předkladatele. </w:t>
      </w:r>
    </w:p>
    <w:p w:rsidR="00855261" w:rsidRPr="00F810BE" w:rsidRDefault="00855261" w:rsidP="00855261">
      <w:pPr>
        <w:widowControl w:val="0"/>
        <w:spacing w:after="120"/>
        <w:jc w:val="both"/>
        <w:rPr>
          <w:rFonts w:ascii="Arial" w:hAnsi="Arial" w:cs="Arial"/>
          <w:i/>
          <w:highlight w:val="cyan"/>
        </w:rPr>
      </w:pPr>
      <w:r>
        <w:rPr>
          <w:rFonts w:ascii="Arial" w:hAnsi="Arial" w:cs="Arial"/>
          <w:i/>
          <w:highlight w:val="cyan"/>
        </w:rPr>
        <w:t xml:space="preserve">Ustanovení § 24 odst. 11 ZDP limituje daňově uznatelný výdaj při prodeji zásob nabytých vkladem, tj. </w:t>
      </w:r>
      <w:proofErr w:type="gramStart"/>
      <w:r>
        <w:rPr>
          <w:rFonts w:ascii="Arial" w:hAnsi="Arial" w:cs="Arial"/>
          <w:i/>
          <w:highlight w:val="cyan"/>
        </w:rPr>
        <w:t>limituje</w:t>
      </w:r>
      <w:proofErr w:type="gramEnd"/>
      <w:r>
        <w:rPr>
          <w:rFonts w:ascii="Arial" w:hAnsi="Arial" w:cs="Arial"/>
          <w:i/>
          <w:highlight w:val="cyan"/>
        </w:rPr>
        <w:t xml:space="preserve"> výdaj, který je ve smyslu § 21h ZDP při prodeji zásob u nabyvatele účetním nákladem (součástí výsledku hospodaření), a to výší jeho hodnoty evidovanou v účetnictví vkladatele. Pokud je tedy u nabyvatele výdaj související s prodejem vložených zásob vyšší než hodnota zásob u vkladatele uplatní se limitace daňově uznatelného výdaje uvedená v § 24 odst. 11 ZDP. V situaci, kdy při prodeji vložených zásob je u nabyvatele související výdaj nižší než hodnota zásob u vkladatele se ustanovení § 24 odst. 11 ZDP neuplatní, neboť výdaj související s prodejem zásob nepřekračuje výši jeho hodnoty u vkladatele. Ustanovení, </w:t>
      </w:r>
      <w:proofErr w:type="gramStart"/>
      <w:r>
        <w:rPr>
          <w:rFonts w:ascii="Arial" w:hAnsi="Arial" w:cs="Arial"/>
          <w:i/>
          <w:highlight w:val="cyan"/>
        </w:rPr>
        <w:t>na</w:t>
      </w:r>
      <w:proofErr w:type="gramEnd"/>
      <w:r>
        <w:rPr>
          <w:rFonts w:ascii="Arial" w:hAnsi="Arial" w:cs="Arial"/>
          <w:i/>
          <w:highlight w:val="cyan"/>
        </w:rPr>
        <w:t xml:space="preserve"> základě kterého by bylo možné o uvedený rozdíl v hodnotě zásob snížit u nabyvatele základ daně, ZDP neobsahuje.</w:t>
      </w:r>
    </w:p>
    <w:p w:rsidR="00855261" w:rsidRPr="006C6BA9" w:rsidRDefault="00855261" w:rsidP="00855261">
      <w:pPr>
        <w:spacing w:before="240"/>
        <w:jc w:val="both"/>
        <w:rPr>
          <w:rFonts w:ascii="Arial" w:hAnsi="Arial" w:cs="Arial"/>
          <w:b/>
          <w:bCs/>
          <w:iCs/>
          <w:highlight w:val="cyan"/>
          <w:u w:val="single"/>
          <w:lang w:val="de-DE"/>
        </w:rPr>
      </w:pPr>
      <w:r w:rsidRPr="006C6BA9">
        <w:rPr>
          <w:rFonts w:ascii="Arial" w:hAnsi="Arial" w:cs="Arial"/>
          <w:b/>
          <w:bCs/>
          <w:iCs/>
          <w:highlight w:val="cyan"/>
          <w:u w:val="single"/>
          <w:lang w:val="de-DE"/>
        </w:rPr>
        <w:t>k</w:t>
      </w:r>
      <w:r w:rsidRPr="00861A40">
        <w:rPr>
          <w:rFonts w:ascii="Arial" w:hAnsi="Arial" w:cs="Arial"/>
          <w:b/>
          <w:bCs/>
          <w:iCs/>
          <w:highlight w:val="cyan"/>
          <w:u w:val="single"/>
        </w:rPr>
        <w:t xml:space="preserve"> bodu</w:t>
      </w:r>
      <w:r w:rsidRPr="006C6BA9">
        <w:rPr>
          <w:rFonts w:ascii="Arial" w:hAnsi="Arial" w:cs="Arial"/>
          <w:b/>
          <w:bCs/>
          <w:iCs/>
          <w:highlight w:val="cyan"/>
          <w:u w:val="single"/>
          <w:lang w:val="de-DE"/>
        </w:rPr>
        <w:t xml:space="preserve"> 1.1.1.</w:t>
      </w:r>
      <w:r>
        <w:rPr>
          <w:rFonts w:ascii="Arial" w:hAnsi="Arial" w:cs="Arial"/>
          <w:b/>
          <w:bCs/>
          <w:iCs/>
          <w:highlight w:val="cyan"/>
          <w:u w:val="single"/>
          <w:lang w:val="de-DE"/>
        </w:rPr>
        <w:t>3</w:t>
      </w:r>
      <w:r w:rsidRPr="006C6BA9">
        <w:rPr>
          <w:rFonts w:ascii="Arial" w:hAnsi="Arial" w:cs="Arial"/>
          <w:b/>
          <w:bCs/>
          <w:iCs/>
          <w:highlight w:val="cyan"/>
          <w:u w:val="single"/>
          <w:lang w:val="de-DE"/>
        </w:rPr>
        <w:t>.</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že v případě prodeje zásob, které byly nabyty opakovaným vkladem, se u nabyvatele uplatní omezení dle § 24 odst. 11 ZDP</w:t>
      </w:r>
      <w:r w:rsidRPr="006C6BA9">
        <w:rPr>
          <w:rFonts w:ascii="Arial" w:hAnsi="Arial" w:cs="Arial"/>
          <w:i/>
          <w:highlight w:val="cyan"/>
        </w:rPr>
        <w:t xml:space="preserve">. </w:t>
      </w:r>
    </w:p>
    <w:p w:rsidR="00855261" w:rsidRDefault="00855261" w:rsidP="00855261">
      <w:pPr>
        <w:jc w:val="both"/>
        <w:rPr>
          <w:rFonts w:ascii="Arial" w:hAnsi="Arial" w:cs="Arial"/>
        </w:rPr>
      </w:pPr>
    </w:p>
    <w:p w:rsidR="00855261" w:rsidRPr="000C7A36" w:rsidRDefault="00855261" w:rsidP="00855261">
      <w:pPr>
        <w:pStyle w:val="Odstavecseseznamem"/>
        <w:spacing w:after="0" w:line="240" w:lineRule="auto"/>
        <w:ind w:left="0"/>
        <w:jc w:val="both"/>
        <w:rPr>
          <w:rFonts w:ascii="Arial" w:hAnsi="Arial" w:cs="Arial"/>
          <w:b/>
          <w:sz w:val="24"/>
          <w:szCs w:val="24"/>
          <w:highlight w:val="cyan"/>
        </w:rPr>
      </w:pPr>
      <w:r w:rsidRPr="0026417A">
        <w:rPr>
          <w:rFonts w:ascii="Arial" w:hAnsi="Arial" w:cs="Arial"/>
          <w:b/>
          <w:bCs/>
          <w:sz w:val="24"/>
          <w:szCs w:val="24"/>
          <w:highlight w:val="cyan"/>
        </w:rPr>
        <w:t xml:space="preserve">K dílčímu závěru </w:t>
      </w:r>
      <w:r w:rsidRPr="0026417A">
        <w:rPr>
          <w:rFonts w:ascii="Arial" w:hAnsi="Arial" w:cs="Arial"/>
          <w:b/>
          <w:sz w:val="24"/>
          <w:szCs w:val="24"/>
          <w:highlight w:val="cyan"/>
        </w:rPr>
        <w:t xml:space="preserve">č. </w:t>
      </w:r>
      <w:r>
        <w:rPr>
          <w:rFonts w:ascii="Arial" w:hAnsi="Arial" w:cs="Arial"/>
          <w:b/>
          <w:sz w:val="24"/>
          <w:szCs w:val="24"/>
          <w:highlight w:val="cyan"/>
        </w:rPr>
        <w:t>1.1.2</w:t>
      </w:r>
      <w:r w:rsidRPr="000C7A36">
        <w:rPr>
          <w:rFonts w:ascii="Arial" w:hAnsi="Arial" w:cs="Arial"/>
          <w:b/>
          <w:sz w:val="24"/>
          <w:szCs w:val="24"/>
          <w:highlight w:val="cyan"/>
        </w:rPr>
        <w:t xml:space="preserve">. </w:t>
      </w:r>
      <w:r>
        <w:rPr>
          <w:rFonts w:ascii="Arial" w:hAnsi="Arial" w:cs="Arial"/>
          <w:b/>
          <w:sz w:val="24"/>
          <w:szCs w:val="24"/>
          <w:highlight w:val="cyan"/>
        </w:rPr>
        <w:t>(</w:t>
      </w:r>
      <w:proofErr w:type="gramStart"/>
      <w:r>
        <w:rPr>
          <w:rFonts w:ascii="Arial" w:hAnsi="Arial" w:cs="Arial"/>
          <w:b/>
          <w:sz w:val="24"/>
          <w:szCs w:val="24"/>
          <w:highlight w:val="cyan"/>
        </w:rPr>
        <w:t>p</w:t>
      </w:r>
      <w:r w:rsidRPr="000C7A36">
        <w:rPr>
          <w:rFonts w:ascii="Arial" w:hAnsi="Arial" w:cs="Arial"/>
          <w:b/>
          <w:sz w:val="24"/>
          <w:szCs w:val="24"/>
          <w:highlight w:val="cyan"/>
        </w:rPr>
        <w:t>řevodce</w:t>
      </w:r>
      <w:proofErr w:type="gramEnd"/>
      <w:r w:rsidRPr="000C7A36">
        <w:rPr>
          <w:rFonts w:ascii="Arial" w:hAnsi="Arial" w:cs="Arial"/>
          <w:b/>
          <w:sz w:val="24"/>
          <w:szCs w:val="24"/>
          <w:highlight w:val="cyan"/>
        </w:rPr>
        <w:t xml:space="preserve"> je fyzická osoba, která měla zásoby zahrnuty v obchodním majetku</w:t>
      </w:r>
      <w:r>
        <w:rPr>
          <w:rFonts w:ascii="Arial" w:hAnsi="Arial" w:cs="Arial"/>
          <w:b/>
          <w:sz w:val="24"/>
          <w:szCs w:val="24"/>
          <w:highlight w:val="cyan"/>
        </w:rPr>
        <w:t>)</w:t>
      </w:r>
    </w:p>
    <w:p w:rsidR="00855261" w:rsidRDefault="00855261" w:rsidP="00855261">
      <w:pPr>
        <w:jc w:val="both"/>
        <w:rPr>
          <w:rFonts w:ascii="Arial" w:hAnsi="Arial" w:cs="Arial"/>
          <w:b/>
          <w:bCs/>
          <w:iCs/>
          <w:u w:val="single"/>
        </w:rPr>
      </w:pPr>
    </w:p>
    <w:p w:rsidR="00855261" w:rsidRPr="006C6BA9" w:rsidRDefault="00855261" w:rsidP="00855261">
      <w:pPr>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w:t>
      </w:r>
      <w:r w:rsidRPr="00861A40">
        <w:rPr>
          <w:rFonts w:ascii="Arial" w:hAnsi="Arial" w:cs="Arial"/>
          <w:b/>
          <w:bCs/>
          <w:iCs/>
          <w:highlight w:val="cyan"/>
          <w:u w:val="single"/>
        </w:rPr>
        <w:t>bodu</w:t>
      </w:r>
      <w:r w:rsidRPr="006C6BA9">
        <w:rPr>
          <w:rFonts w:ascii="Arial" w:hAnsi="Arial" w:cs="Arial"/>
          <w:b/>
          <w:bCs/>
          <w:iCs/>
          <w:highlight w:val="cyan"/>
          <w:u w:val="single"/>
          <w:lang w:val="de-DE"/>
        </w:rPr>
        <w:t xml:space="preserve"> 1.1.</w:t>
      </w:r>
      <w:r>
        <w:rPr>
          <w:rFonts w:ascii="Arial" w:hAnsi="Arial" w:cs="Arial"/>
          <w:b/>
          <w:bCs/>
          <w:iCs/>
          <w:highlight w:val="cyan"/>
          <w:u w:val="single"/>
          <w:lang w:val="de-DE"/>
        </w:rPr>
        <w:t>2</w:t>
      </w:r>
      <w:r w:rsidRPr="006C6BA9">
        <w:rPr>
          <w:rFonts w:ascii="Arial" w:hAnsi="Arial" w:cs="Arial"/>
          <w:b/>
          <w:bCs/>
          <w:iCs/>
          <w:highlight w:val="cyan"/>
          <w:u w:val="single"/>
          <w:lang w:val="de-DE"/>
        </w:rPr>
        <w:t>.1.</w:t>
      </w:r>
    </w:p>
    <w:p w:rsidR="00855261" w:rsidRPr="00765329" w:rsidRDefault="00855261" w:rsidP="00855261">
      <w:pPr>
        <w:spacing w:before="120" w:after="120"/>
        <w:jc w:val="both"/>
        <w:rPr>
          <w:rFonts w:ascii="Arial" w:hAnsi="Arial" w:cs="Arial"/>
          <w:b/>
          <w:bCs/>
          <w:iCs/>
          <w:highlight w:val="cyan"/>
          <w:u w:val="singl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w:t>
      </w:r>
      <w:r w:rsidRPr="00206F93">
        <w:rPr>
          <w:rFonts w:ascii="Arial" w:hAnsi="Arial" w:cs="Arial"/>
          <w:i/>
          <w:highlight w:val="cyan"/>
        </w:rPr>
        <w:t xml:space="preserve"> </w:t>
      </w:r>
      <w:r>
        <w:rPr>
          <w:rFonts w:ascii="Arial" w:hAnsi="Arial" w:cs="Arial"/>
          <w:i/>
          <w:highlight w:val="cyan"/>
        </w:rPr>
        <w:t>že v případě prodeje zásob nabytých vkladem se u nabyvatele uplatní omezení dle § 24 odst. 11 ZDP</w:t>
      </w:r>
      <w:r w:rsidRPr="00765329">
        <w:rPr>
          <w:rFonts w:ascii="Arial" w:hAnsi="Arial" w:cs="Arial"/>
          <w:i/>
          <w:highlight w:val="cyan"/>
        </w:rPr>
        <w:t>. Pouze upozorňujeme, že u neúčtujících poplatníků je nákup zásob jednorázově uplatněn ve výdajích, takže hodnota evidovaná u vkladatele bude nula a ne pořizovací cena.</w:t>
      </w:r>
    </w:p>
    <w:p w:rsidR="00855261" w:rsidRPr="006C6BA9" w:rsidRDefault="00855261" w:rsidP="00855261">
      <w:pPr>
        <w:spacing w:before="240"/>
        <w:jc w:val="both"/>
        <w:rPr>
          <w:rFonts w:ascii="Arial" w:hAnsi="Arial" w:cs="Arial"/>
          <w:b/>
          <w:bCs/>
          <w:iCs/>
          <w:highlight w:val="cyan"/>
          <w:u w:val="single"/>
          <w:lang w:val="de-DE"/>
        </w:rPr>
      </w:pPr>
      <w:r w:rsidRPr="006C6BA9">
        <w:rPr>
          <w:rFonts w:ascii="Arial" w:hAnsi="Arial" w:cs="Arial"/>
          <w:b/>
          <w:bCs/>
          <w:iCs/>
          <w:highlight w:val="cyan"/>
          <w:u w:val="single"/>
          <w:lang w:val="de-DE"/>
        </w:rPr>
        <w:t>k bodu 1.1.</w:t>
      </w:r>
      <w:r>
        <w:rPr>
          <w:rFonts w:ascii="Arial" w:hAnsi="Arial" w:cs="Arial"/>
          <w:b/>
          <w:bCs/>
          <w:iCs/>
          <w:highlight w:val="cyan"/>
          <w:u w:val="single"/>
          <w:lang w:val="de-DE"/>
        </w:rPr>
        <w:t>2</w:t>
      </w:r>
      <w:r w:rsidRPr="006C6BA9">
        <w:rPr>
          <w:rFonts w:ascii="Arial" w:hAnsi="Arial" w:cs="Arial"/>
          <w:b/>
          <w:bCs/>
          <w:iCs/>
          <w:highlight w:val="cyan"/>
          <w:u w:val="single"/>
          <w:lang w:val="de-DE"/>
        </w:rPr>
        <w:t>.</w:t>
      </w:r>
      <w:r>
        <w:rPr>
          <w:rFonts w:ascii="Arial" w:hAnsi="Arial" w:cs="Arial"/>
          <w:b/>
          <w:bCs/>
          <w:iCs/>
          <w:highlight w:val="cyan"/>
          <w:u w:val="single"/>
          <w:lang w:val="de-DE"/>
        </w:rPr>
        <w:t>2</w:t>
      </w:r>
      <w:r w:rsidRPr="006C6BA9">
        <w:rPr>
          <w:rFonts w:ascii="Arial" w:hAnsi="Arial" w:cs="Arial"/>
          <w:b/>
          <w:bCs/>
          <w:iCs/>
          <w:highlight w:val="cyan"/>
          <w:u w:val="single"/>
          <w:lang w:val="de-DE"/>
        </w:rPr>
        <w:t>.</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Nes</w:t>
      </w:r>
      <w:r w:rsidRPr="006C6BA9">
        <w:rPr>
          <w:rFonts w:ascii="Arial" w:hAnsi="Arial" w:cs="Arial"/>
          <w:i/>
          <w:highlight w:val="cyan"/>
        </w:rPr>
        <w:t xml:space="preserve">ouhlas se závěrem předkladatele. </w:t>
      </w:r>
    </w:p>
    <w:p w:rsidR="00855261" w:rsidRPr="00F810BE" w:rsidRDefault="00855261" w:rsidP="00855261">
      <w:pPr>
        <w:widowControl w:val="0"/>
        <w:spacing w:after="120"/>
        <w:jc w:val="both"/>
        <w:rPr>
          <w:rFonts w:ascii="Arial" w:hAnsi="Arial" w:cs="Arial"/>
          <w:i/>
          <w:highlight w:val="cyan"/>
        </w:rPr>
      </w:pPr>
      <w:r>
        <w:rPr>
          <w:rFonts w:ascii="Arial" w:hAnsi="Arial" w:cs="Arial"/>
          <w:i/>
          <w:highlight w:val="cyan"/>
        </w:rPr>
        <w:t xml:space="preserve">Ustanovení § 24 odst. 11 ZDP limituje daňově uznatelný výdaj při prodeji zásob nabytých vkladem, tj. </w:t>
      </w:r>
      <w:proofErr w:type="gramStart"/>
      <w:r>
        <w:rPr>
          <w:rFonts w:ascii="Arial" w:hAnsi="Arial" w:cs="Arial"/>
          <w:i/>
          <w:highlight w:val="cyan"/>
        </w:rPr>
        <w:t>limituje</w:t>
      </w:r>
      <w:proofErr w:type="gramEnd"/>
      <w:r>
        <w:rPr>
          <w:rFonts w:ascii="Arial" w:hAnsi="Arial" w:cs="Arial"/>
          <w:i/>
          <w:highlight w:val="cyan"/>
        </w:rPr>
        <w:t xml:space="preserve"> výdaj, který je ve smyslu § 21h ZDP při prodeji zásob u nabyvatele účetním nákladem (součástí výsledku hospodaření), a to výší jeho hodnoty evidovanou v daňové evidenci vkladatele. Pokud je tedy u nabyvatele výdaj související s prodejem vložených zásob vyšší než hodnota zásob u vkladatele uplatní se limitace daňově uznatelného výdaje uvedená v § 24 odst. 11 ZDP. V situaci, kdy při prodeji vložených zásob je u nabyvatele související výdaj nižší než hodnota zásob u vkladatele se ustanovení § 24 odst. 11 ZDP neuplatní, neboť výdaj související s prodejem zásob nepřekračuje výši jeho hodnoty u vkladatele. Ustanovení, </w:t>
      </w:r>
      <w:proofErr w:type="gramStart"/>
      <w:r>
        <w:rPr>
          <w:rFonts w:ascii="Arial" w:hAnsi="Arial" w:cs="Arial"/>
          <w:i/>
          <w:highlight w:val="cyan"/>
        </w:rPr>
        <w:t>na</w:t>
      </w:r>
      <w:proofErr w:type="gramEnd"/>
      <w:r>
        <w:rPr>
          <w:rFonts w:ascii="Arial" w:hAnsi="Arial" w:cs="Arial"/>
          <w:i/>
          <w:highlight w:val="cyan"/>
        </w:rPr>
        <w:t xml:space="preserve"> základě kterého by bylo možné o uvedený rozdíl v hodnotě zásob snížit u nabyvatele základ daně, ZDP neobsahuje.</w:t>
      </w:r>
    </w:p>
    <w:p w:rsidR="00855261" w:rsidRPr="00E801CB" w:rsidRDefault="00855261" w:rsidP="00855261">
      <w:pPr>
        <w:pStyle w:val="Odstavecseseznamem"/>
        <w:spacing w:after="0" w:line="240" w:lineRule="auto"/>
        <w:ind w:left="0"/>
        <w:jc w:val="both"/>
        <w:rPr>
          <w:rFonts w:ascii="Arial" w:hAnsi="Arial" w:cs="Arial"/>
          <w:b/>
          <w:sz w:val="24"/>
          <w:szCs w:val="24"/>
          <w:highlight w:val="cyan"/>
        </w:rPr>
      </w:pPr>
      <w:r w:rsidRPr="00E801CB">
        <w:rPr>
          <w:rFonts w:ascii="Arial" w:hAnsi="Arial" w:cs="Arial"/>
          <w:b/>
          <w:bCs/>
          <w:sz w:val="24"/>
          <w:szCs w:val="24"/>
          <w:highlight w:val="cyan"/>
        </w:rPr>
        <w:lastRenderedPageBreak/>
        <w:t xml:space="preserve">K dílčímu závěru </w:t>
      </w:r>
      <w:r w:rsidRPr="00E801CB">
        <w:rPr>
          <w:rFonts w:ascii="Arial" w:hAnsi="Arial" w:cs="Arial"/>
          <w:b/>
          <w:sz w:val="24"/>
          <w:szCs w:val="24"/>
          <w:highlight w:val="cyan"/>
        </w:rPr>
        <w:t>č. 1.1.3. (</w:t>
      </w:r>
      <w:proofErr w:type="gramStart"/>
      <w:r w:rsidRPr="00E801CB">
        <w:rPr>
          <w:rFonts w:ascii="Arial" w:hAnsi="Arial" w:cs="Arial"/>
          <w:b/>
          <w:sz w:val="24"/>
          <w:szCs w:val="24"/>
          <w:highlight w:val="cyan"/>
        </w:rPr>
        <w:t>převodce</w:t>
      </w:r>
      <w:proofErr w:type="gramEnd"/>
      <w:r w:rsidRPr="00E801CB">
        <w:rPr>
          <w:rFonts w:ascii="Arial" w:hAnsi="Arial" w:cs="Arial"/>
          <w:b/>
          <w:sz w:val="24"/>
          <w:szCs w:val="24"/>
          <w:highlight w:val="cyan"/>
        </w:rPr>
        <w:t xml:space="preserve"> je fyzická osoba, která neměla zásoby zahrnuty v obchodním majetku)</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že v tomto případě se při prodeji zásob nabytých vkladem u nabyvatele neuplatní omezení dle § 24 odst. 11 ZDP</w:t>
      </w:r>
      <w:r w:rsidRPr="006C6BA9">
        <w:rPr>
          <w:rFonts w:ascii="Arial" w:hAnsi="Arial" w:cs="Arial"/>
          <w:i/>
          <w:highlight w:val="cyan"/>
        </w:rPr>
        <w:t>.</w:t>
      </w:r>
    </w:p>
    <w:p w:rsidR="00855261" w:rsidRDefault="00855261" w:rsidP="00855261">
      <w:pPr>
        <w:jc w:val="both"/>
        <w:rPr>
          <w:rFonts w:ascii="Arial" w:hAnsi="Arial" w:cs="Arial"/>
          <w:u w:val="single"/>
        </w:rPr>
      </w:pPr>
    </w:p>
    <w:p w:rsidR="00855261" w:rsidRPr="00E8146A" w:rsidRDefault="00855261" w:rsidP="00855261">
      <w:pPr>
        <w:jc w:val="both"/>
        <w:rPr>
          <w:rFonts w:ascii="Arial" w:hAnsi="Arial" w:cs="Arial"/>
          <w:u w:val="single"/>
        </w:rPr>
      </w:pPr>
      <w:r w:rsidRPr="00E8146A">
        <w:rPr>
          <w:rFonts w:ascii="Arial" w:hAnsi="Arial" w:cs="Arial"/>
          <w:u w:val="single"/>
        </w:rPr>
        <w:t>2. Hmotný majetek, který není hmotným majetkem dle ZDP</w:t>
      </w:r>
    </w:p>
    <w:p w:rsidR="00855261" w:rsidRDefault="00855261" w:rsidP="00855261">
      <w:pPr>
        <w:jc w:val="both"/>
        <w:rPr>
          <w:rFonts w:ascii="Arial" w:hAnsi="Arial" w:cs="Arial"/>
        </w:rPr>
      </w:pPr>
      <w:r w:rsidRPr="00D22594">
        <w:rPr>
          <w:rFonts w:ascii="Arial" w:hAnsi="Arial" w:cs="Arial"/>
        </w:rPr>
        <w:t>I v tomto případě je zde omezení při uplatňování účetních odpisů jakožto daňově uznatelného nákladu v situacích, kdy převodce je právnická osoba nebo fyzická osoba, která měla majetek zahrnut v obchodním majetku. V těchto situacích jsou daňově uznatelné náklady z titulu účetních odpisů omezeny zůstatkovou účetní cenou u převodce.</w:t>
      </w:r>
      <w:r>
        <w:rPr>
          <w:rFonts w:ascii="Arial" w:hAnsi="Arial" w:cs="Arial"/>
        </w:rPr>
        <w:t xml:space="preserve"> </w:t>
      </w:r>
    </w:p>
    <w:p w:rsidR="00855261" w:rsidRDefault="00855261" w:rsidP="00855261">
      <w:pPr>
        <w:jc w:val="both"/>
        <w:rPr>
          <w:rFonts w:ascii="Arial" w:hAnsi="Arial" w:cs="Arial"/>
        </w:rPr>
      </w:pPr>
    </w:p>
    <w:p w:rsidR="00855261" w:rsidRDefault="00855261" w:rsidP="00855261">
      <w:pPr>
        <w:jc w:val="both"/>
        <w:rPr>
          <w:rFonts w:ascii="Arial" w:hAnsi="Arial" w:cs="Arial"/>
        </w:rPr>
      </w:pPr>
      <w:r>
        <w:rPr>
          <w:rFonts w:ascii="Arial" w:hAnsi="Arial" w:cs="Arial"/>
        </w:rPr>
        <w:t xml:space="preserve">Částečně spornou je však otázka, co se má rozumět pod zůstatkovou účetní cenou v případě poplatníka, který vede daňovou evidenci, když ustanovení § 24 odst. 11 ZDP </w:t>
      </w:r>
      <w:proofErr w:type="gramStart"/>
      <w:r>
        <w:rPr>
          <w:rFonts w:ascii="Arial" w:hAnsi="Arial" w:cs="Arial"/>
        </w:rPr>
        <w:t>na</w:t>
      </w:r>
      <w:proofErr w:type="gramEnd"/>
      <w:r>
        <w:rPr>
          <w:rFonts w:ascii="Arial" w:hAnsi="Arial" w:cs="Arial"/>
        </w:rPr>
        <w:t xml:space="preserve"> tuto situaci výslovně pamatuje a hovoří o hodnotě zachycenou v daňové evidenci. </w:t>
      </w:r>
      <w:r w:rsidRPr="00D22594">
        <w:rPr>
          <w:rFonts w:ascii="Arial" w:hAnsi="Arial" w:cs="Arial"/>
        </w:rPr>
        <w:t xml:space="preserve"> </w:t>
      </w:r>
      <w:r>
        <w:rPr>
          <w:rFonts w:ascii="Arial" w:hAnsi="Arial" w:cs="Arial"/>
        </w:rPr>
        <w:t xml:space="preserve">Domníváme se, že zde mohou být dva alternativní závěry, a sice, že půjde o hodnotu zachycenou v daňové evidenci (jde o pořizovací cenu v případě úplatného nabytí) nebo, že díky absenci této hodnoty (účetní zůstatkové ceny), se daná restrikce neuplatní. Jelikož takováto hodnota v daňové evidenci není k dispozici, vyjde se z první části věty § 24 odst. 2 písm. v) </w:t>
      </w:r>
      <w:proofErr w:type="gramStart"/>
      <w:r>
        <w:rPr>
          <w:rFonts w:ascii="Arial" w:hAnsi="Arial" w:cs="Arial"/>
        </w:rPr>
        <w:t>bod</w:t>
      </w:r>
      <w:proofErr w:type="gramEnd"/>
      <w:r>
        <w:rPr>
          <w:rFonts w:ascii="Arial" w:hAnsi="Arial" w:cs="Arial"/>
        </w:rPr>
        <w:t xml:space="preserve"> 1 ZDP (tzn., že  daňově relevantním nákladem je účetní odpis)  a omezení, které stanoví druhá část věty nebude aplikováno.     </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sidRPr="00D22594">
        <w:rPr>
          <w:rFonts w:ascii="Arial" w:hAnsi="Arial" w:cs="Arial"/>
        </w:rPr>
        <w:t>Také v této situaci není jakkoli regulována situace, kdy převodce je fyzická osoba, která takovýto majetek neměla zahrnut v obchodním majetku.</w:t>
      </w:r>
      <w:r w:rsidRPr="00E8146A">
        <w:rPr>
          <w:rFonts w:ascii="Arial" w:hAnsi="Arial" w:cs="Arial"/>
        </w:rPr>
        <w:t xml:space="preserve"> </w:t>
      </w:r>
      <w:r w:rsidRPr="00D22594">
        <w:rPr>
          <w:rFonts w:ascii="Arial" w:hAnsi="Arial" w:cs="Arial"/>
        </w:rPr>
        <w:t xml:space="preserve">Domníváme se, že v této situaci v souladu s první větou § 24 odst. 2 písm. v) </w:t>
      </w:r>
      <w:proofErr w:type="gramStart"/>
      <w:r w:rsidRPr="00D22594">
        <w:rPr>
          <w:rFonts w:ascii="Arial" w:hAnsi="Arial" w:cs="Arial"/>
        </w:rPr>
        <w:t>bod</w:t>
      </w:r>
      <w:proofErr w:type="gramEnd"/>
      <w:r w:rsidRPr="00D22594">
        <w:rPr>
          <w:rFonts w:ascii="Arial" w:hAnsi="Arial" w:cs="Arial"/>
        </w:rPr>
        <w:t xml:space="preserve"> 1 ZDP budou daňovým nákladem účetní odpisy z takovéhoto majetku bez jakéhokoliv omezení. </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sidRPr="00D22594">
        <w:rPr>
          <w:rFonts w:ascii="Arial" w:hAnsi="Arial" w:cs="Arial"/>
        </w:rPr>
        <w:t xml:space="preserve">Obdobně jako v případě zásob by z jazykového </w:t>
      </w:r>
      <w:r>
        <w:rPr>
          <w:rFonts w:ascii="Arial" w:hAnsi="Arial" w:cs="Arial"/>
        </w:rPr>
        <w:t>výkladu</w:t>
      </w:r>
      <w:r w:rsidRPr="00D22594">
        <w:rPr>
          <w:rFonts w:ascii="Arial" w:hAnsi="Arial" w:cs="Arial"/>
        </w:rPr>
        <w:t xml:space="preserve"> mohlo vyplývat, že z omezení daňových výdajů zůstatkovou účetní cenou se uplatní pouze v případě, kdy dojde v rámci vyčlenění či vkladu ke zvýšení hodnoty</w:t>
      </w:r>
      <w:r>
        <w:rPr>
          <w:rFonts w:ascii="Arial" w:hAnsi="Arial" w:cs="Arial"/>
        </w:rPr>
        <w:t xml:space="preserve"> tohoto</w:t>
      </w:r>
      <w:r w:rsidRPr="00D22594">
        <w:rPr>
          <w:rFonts w:ascii="Arial" w:hAnsi="Arial" w:cs="Arial"/>
        </w:rPr>
        <w:t xml:space="preserve"> majetku. Stejně jako v případě zásob se domníváme, že z hlediska smyslu a principu dané právní úpravy by mělo platit, že v případě, kdy dojde k ocenění takovéhoto majetku směrem dolů, měl by být rozdíl mezi zůstatkovou účetní cenou u převodce a nižším oceněním u nabyvatele položkou snižující základ daně. </w:t>
      </w:r>
    </w:p>
    <w:p w:rsidR="00855261" w:rsidRDefault="00855261" w:rsidP="00855261">
      <w:pPr>
        <w:jc w:val="both"/>
        <w:rPr>
          <w:rFonts w:ascii="Arial" w:hAnsi="Arial" w:cs="Arial"/>
        </w:rPr>
      </w:pPr>
    </w:p>
    <w:p w:rsidR="00855261" w:rsidRDefault="00855261" w:rsidP="00855261">
      <w:pPr>
        <w:jc w:val="both"/>
        <w:rPr>
          <w:rFonts w:ascii="Arial" w:hAnsi="Arial" w:cs="Arial"/>
        </w:rPr>
      </w:pPr>
      <w:r>
        <w:rPr>
          <w:rFonts w:ascii="Arial" w:hAnsi="Arial" w:cs="Arial"/>
        </w:rPr>
        <w:t xml:space="preserve">Na rozdíl </w:t>
      </w:r>
      <w:proofErr w:type="gramStart"/>
      <w:r>
        <w:rPr>
          <w:rFonts w:ascii="Arial" w:hAnsi="Arial" w:cs="Arial"/>
        </w:rPr>
        <w:t>od</w:t>
      </w:r>
      <w:proofErr w:type="gramEnd"/>
      <w:r>
        <w:rPr>
          <w:rFonts w:ascii="Arial" w:hAnsi="Arial" w:cs="Arial"/>
        </w:rPr>
        <w:t xml:space="preserve"> úpravy § 24 odst.  11 ZDP nejsou výslovně regulovány situace přecenění při násobných vkladech či přeměnách. Účetní odpisy z hlediska daňové relevance jsou tak u nabyvatele omezeny zůstatkovou účetní cenou u převodce i v případě, kdy před tím (před realizací vkladu) došlo u převodce k navýšení vstupní a tím i zůstatkové účetní ceny například z titulu přeměn či vkladů.</w:t>
      </w:r>
    </w:p>
    <w:p w:rsidR="00855261" w:rsidRDefault="00855261" w:rsidP="00855261">
      <w:pPr>
        <w:jc w:val="both"/>
        <w:rPr>
          <w:rFonts w:ascii="Arial" w:hAnsi="Arial" w:cs="Arial"/>
          <w:u w:val="single"/>
        </w:rPr>
      </w:pPr>
    </w:p>
    <w:p w:rsidR="00855261" w:rsidRPr="00E8146A" w:rsidRDefault="00855261" w:rsidP="00855261">
      <w:pPr>
        <w:jc w:val="both"/>
        <w:rPr>
          <w:rFonts w:ascii="Arial" w:hAnsi="Arial" w:cs="Arial"/>
          <w:u w:val="single"/>
        </w:rPr>
      </w:pPr>
      <w:r w:rsidRPr="00E8146A">
        <w:rPr>
          <w:rFonts w:ascii="Arial" w:hAnsi="Arial" w:cs="Arial"/>
          <w:u w:val="single"/>
        </w:rPr>
        <w:t>2.1. Závěry</w:t>
      </w:r>
    </w:p>
    <w:p w:rsidR="00855261" w:rsidRDefault="00855261" w:rsidP="00855261">
      <w:pPr>
        <w:jc w:val="both"/>
        <w:rPr>
          <w:rFonts w:ascii="Arial" w:hAnsi="Arial" w:cs="Arial"/>
          <w:u w:val="single"/>
        </w:rPr>
      </w:pPr>
    </w:p>
    <w:p w:rsidR="00855261" w:rsidRPr="00930E8D" w:rsidRDefault="00855261" w:rsidP="00855261">
      <w:pPr>
        <w:jc w:val="both"/>
        <w:rPr>
          <w:rFonts w:ascii="Arial" w:hAnsi="Arial" w:cs="Arial"/>
          <w:u w:val="single"/>
        </w:rPr>
      </w:pPr>
      <w:r>
        <w:rPr>
          <w:rFonts w:ascii="Arial" w:hAnsi="Arial" w:cs="Arial"/>
          <w:u w:val="single"/>
        </w:rPr>
        <w:t>2</w:t>
      </w:r>
      <w:r w:rsidRPr="00930E8D">
        <w:rPr>
          <w:rFonts w:ascii="Arial" w:hAnsi="Arial" w:cs="Arial"/>
          <w:u w:val="single"/>
        </w:rPr>
        <w:t xml:space="preserve">.1.1. </w:t>
      </w:r>
      <w:r>
        <w:rPr>
          <w:rFonts w:ascii="Arial" w:hAnsi="Arial" w:cs="Arial"/>
          <w:u w:val="single"/>
        </w:rPr>
        <w:t>Převodce je obchodní korporace</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Pr>
          <w:rFonts w:ascii="Arial" w:hAnsi="Arial" w:cs="Arial"/>
        </w:rPr>
        <w:t>2.1.</w:t>
      </w:r>
      <w:r w:rsidRPr="00D22594">
        <w:rPr>
          <w:rFonts w:ascii="Arial" w:hAnsi="Arial" w:cs="Arial"/>
        </w:rPr>
        <w:t>1.</w:t>
      </w:r>
      <w:r>
        <w:rPr>
          <w:rFonts w:ascii="Arial" w:hAnsi="Arial" w:cs="Arial"/>
        </w:rPr>
        <w:t>1.</w:t>
      </w:r>
      <w:r w:rsidRPr="00D22594">
        <w:rPr>
          <w:rFonts w:ascii="Arial" w:hAnsi="Arial" w:cs="Arial"/>
        </w:rPr>
        <w:t xml:space="preserve"> V</w:t>
      </w:r>
      <w:r>
        <w:rPr>
          <w:rFonts w:ascii="Arial" w:hAnsi="Arial" w:cs="Arial"/>
        </w:rPr>
        <w:t xml:space="preserve"> tomto</w:t>
      </w:r>
      <w:r w:rsidRPr="00D22594">
        <w:rPr>
          <w:rFonts w:ascii="Arial" w:hAnsi="Arial" w:cs="Arial"/>
        </w:rPr>
        <w:t xml:space="preserve"> případě budou daňově uznatelné účetní odpisy </w:t>
      </w:r>
      <w:r>
        <w:rPr>
          <w:rFonts w:ascii="Arial" w:hAnsi="Arial" w:cs="Arial"/>
        </w:rPr>
        <w:t xml:space="preserve">u nabyvatele </w:t>
      </w:r>
      <w:r w:rsidRPr="00D22594">
        <w:rPr>
          <w:rFonts w:ascii="Arial" w:hAnsi="Arial" w:cs="Arial"/>
        </w:rPr>
        <w:t>omezeny zůstatkovou účetn</w:t>
      </w:r>
      <w:r>
        <w:rPr>
          <w:rFonts w:ascii="Arial" w:hAnsi="Arial" w:cs="Arial"/>
        </w:rPr>
        <w:t>í cenou u převádějící</w:t>
      </w:r>
      <w:r w:rsidRPr="00D22594">
        <w:rPr>
          <w:rFonts w:ascii="Arial" w:hAnsi="Arial" w:cs="Arial"/>
        </w:rPr>
        <w:t xml:space="preserve"> obchodní korporace.</w:t>
      </w:r>
    </w:p>
    <w:p w:rsidR="00855261" w:rsidRPr="00D22594" w:rsidRDefault="00855261" w:rsidP="00855261">
      <w:pPr>
        <w:jc w:val="both"/>
        <w:rPr>
          <w:rFonts w:ascii="Arial" w:hAnsi="Arial" w:cs="Arial"/>
        </w:rPr>
      </w:pPr>
      <w:r>
        <w:rPr>
          <w:rFonts w:ascii="Arial" w:hAnsi="Arial" w:cs="Arial"/>
        </w:rPr>
        <w:t>2.1.1</w:t>
      </w:r>
      <w:r w:rsidRPr="00D22594">
        <w:rPr>
          <w:rFonts w:ascii="Arial" w:hAnsi="Arial" w:cs="Arial"/>
        </w:rPr>
        <w:t>.</w:t>
      </w:r>
      <w:r>
        <w:rPr>
          <w:rFonts w:ascii="Arial" w:hAnsi="Arial" w:cs="Arial"/>
        </w:rPr>
        <w:t>2.</w:t>
      </w:r>
      <w:r w:rsidRPr="00D22594">
        <w:rPr>
          <w:rFonts w:ascii="Arial" w:hAnsi="Arial" w:cs="Arial"/>
        </w:rPr>
        <w:t xml:space="preserve"> Na rozdíl </w:t>
      </w:r>
      <w:proofErr w:type="gramStart"/>
      <w:r w:rsidRPr="00D22594">
        <w:rPr>
          <w:rFonts w:ascii="Arial" w:hAnsi="Arial" w:cs="Arial"/>
        </w:rPr>
        <w:t>od</w:t>
      </w:r>
      <w:proofErr w:type="gramEnd"/>
      <w:r w:rsidRPr="00D22594">
        <w:rPr>
          <w:rFonts w:ascii="Arial" w:hAnsi="Arial" w:cs="Arial"/>
        </w:rPr>
        <w:t xml:space="preserve"> zásob v tomto případě neplatí daná restrikce na násobné vklady či přeměny. To znamená, že </w:t>
      </w:r>
      <w:r>
        <w:rPr>
          <w:rFonts w:ascii="Arial" w:hAnsi="Arial" w:cs="Arial"/>
        </w:rPr>
        <w:t xml:space="preserve">u nabyvatele </w:t>
      </w:r>
      <w:r w:rsidRPr="00D22594">
        <w:rPr>
          <w:rFonts w:ascii="Arial" w:hAnsi="Arial" w:cs="Arial"/>
        </w:rPr>
        <w:t xml:space="preserve">se vychází ze zůstatkové účetní ceny u </w:t>
      </w:r>
      <w:r>
        <w:rPr>
          <w:rFonts w:ascii="Arial" w:hAnsi="Arial" w:cs="Arial"/>
        </w:rPr>
        <w:lastRenderedPageBreak/>
        <w:t xml:space="preserve">převodce </w:t>
      </w:r>
      <w:r w:rsidRPr="00D22594">
        <w:rPr>
          <w:rFonts w:ascii="Arial" w:hAnsi="Arial" w:cs="Arial"/>
        </w:rPr>
        <w:t xml:space="preserve">bez ohledu </w:t>
      </w:r>
      <w:proofErr w:type="gramStart"/>
      <w:r w:rsidRPr="00D22594">
        <w:rPr>
          <w:rFonts w:ascii="Arial" w:hAnsi="Arial" w:cs="Arial"/>
        </w:rPr>
        <w:t>na</w:t>
      </w:r>
      <w:proofErr w:type="gramEnd"/>
      <w:r w:rsidRPr="00D22594">
        <w:rPr>
          <w:rFonts w:ascii="Arial" w:hAnsi="Arial" w:cs="Arial"/>
        </w:rPr>
        <w:t xml:space="preserve"> to, jestli nebyla předtím navýšena vstupní účetní cena takovéhoto majetku a tím i zůstatková účetní cena</w:t>
      </w:r>
      <w:r>
        <w:rPr>
          <w:rFonts w:ascii="Arial" w:hAnsi="Arial" w:cs="Arial"/>
        </w:rPr>
        <w:t xml:space="preserve"> u převodce</w:t>
      </w:r>
      <w:r w:rsidRPr="00D22594">
        <w:rPr>
          <w:rFonts w:ascii="Arial" w:hAnsi="Arial" w:cs="Arial"/>
        </w:rPr>
        <w:t xml:space="preserve"> z titulu vkladu či přeměny.</w:t>
      </w:r>
    </w:p>
    <w:p w:rsidR="00855261" w:rsidRPr="00D22594" w:rsidRDefault="00855261" w:rsidP="00855261">
      <w:pPr>
        <w:jc w:val="both"/>
        <w:rPr>
          <w:rFonts w:ascii="Arial" w:hAnsi="Arial" w:cs="Arial"/>
        </w:rPr>
      </w:pPr>
      <w:r>
        <w:rPr>
          <w:rFonts w:ascii="Arial" w:hAnsi="Arial" w:cs="Arial"/>
        </w:rPr>
        <w:t>2.1.1</w:t>
      </w:r>
      <w:r w:rsidRPr="00D22594">
        <w:rPr>
          <w:rFonts w:ascii="Arial" w:hAnsi="Arial" w:cs="Arial"/>
        </w:rPr>
        <w:t>.</w:t>
      </w:r>
      <w:r>
        <w:rPr>
          <w:rFonts w:ascii="Arial" w:hAnsi="Arial" w:cs="Arial"/>
        </w:rPr>
        <w:t>3.</w:t>
      </w:r>
      <w:r w:rsidRPr="00D22594">
        <w:rPr>
          <w:rFonts w:ascii="Arial" w:hAnsi="Arial" w:cs="Arial"/>
        </w:rPr>
        <w:t xml:space="preserve"> Pokud by došlo k tomu, že majetek bude přeceněn směrem dolů, bude rozdíl mezi zůstatkovou účetní cenou u převodce a nižším oceněním u nabyvatele položkou snižující základ </w:t>
      </w:r>
      <w:proofErr w:type="gramStart"/>
      <w:r w:rsidRPr="00D22594">
        <w:rPr>
          <w:rFonts w:ascii="Arial" w:hAnsi="Arial" w:cs="Arial"/>
        </w:rPr>
        <w:t>daně</w:t>
      </w:r>
      <w:proofErr w:type="gramEnd"/>
      <w:r w:rsidRPr="00D22594">
        <w:rPr>
          <w:rFonts w:ascii="Arial" w:hAnsi="Arial" w:cs="Arial"/>
        </w:rPr>
        <w:t>. Toto snížení je možné realizovat buďto jednorázově nebo postupně</w:t>
      </w:r>
      <w:r>
        <w:rPr>
          <w:rFonts w:ascii="Arial" w:hAnsi="Arial" w:cs="Arial"/>
        </w:rPr>
        <w:t xml:space="preserve"> po dobu účetního odpisování</w:t>
      </w:r>
      <w:r w:rsidRPr="00D22594">
        <w:rPr>
          <w:rFonts w:ascii="Arial" w:hAnsi="Arial" w:cs="Arial"/>
        </w:rPr>
        <w:t xml:space="preserve">. </w:t>
      </w:r>
    </w:p>
    <w:p w:rsidR="00855261" w:rsidRPr="00584996" w:rsidRDefault="00855261" w:rsidP="00855261">
      <w:pPr>
        <w:jc w:val="both"/>
        <w:rPr>
          <w:rFonts w:ascii="Arial" w:hAnsi="Arial" w:cs="Arial"/>
          <w:u w:val="single"/>
        </w:rPr>
      </w:pPr>
      <w:r>
        <w:rPr>
          <w:rFonts w:ascii="Arial" w:hAnsi="Arial" w:cs="Arial"/>
          <w:u w:val="single"/>
        </w:rPr>
        <w:t>2.1.2</w:t>
      </w:r>
      <w:proofErr w:type="gramStart"/>
      <w:r>
        <w:rPr>
          <w:rFonts w:ascii="Arial" w:hAnsi="Arial" w:cs="Arial"/>
          <w:u w:val="single"/>
        </w:rPr>
        <w:t>.</w:t>
      </w:r>
      <w:r w:rsidRPr="00584996">
        <w:rPr>
          <w:rFonts w:ascii="Arial" w:hAnsi="Arial" w:cs="Arial"/>
          <w:u w:val="single"/>
        </w:rPr>
        <w:t>Převodce</w:t>
      </w:r>
      <w:proofErr w:type="gramEnd"/>
      <w:r w:rsidRPr="00584996">
        <w:rPr>
          <w:rFonts w:ascii="Arial" w:hAnsi="Arial" w:cs="Arial"/>
          <w:u w:val="single"/>
        </w:rPr>
        <w:t xml:space="preserve"> je fyzická osoba, která měla daný majetek evidován v obchodním majetku.</w:t>
      </w:r>
    </w:p>
    <w:p w:rsidR="00855261" w:rsidRDefault="00855261" w:rsidP="00855261">
      <w:pPr>
        <w:jc w:val="both"/>
        <w:rPr>
          <w:rFonts w:ascii="Arial" w:hAnsi="Arial" w:cs="Arial"/>
        </w:rPr>
      </w:pPr>
    </w:p>
    <w:p w:rsidR="00855261" w:rsidRDefault="00855261" w:rsidP="00855261">
      <w:pPr>
        <w:jc w:val="both"/>
        <w:rPr>
          <w:rFonts w:ascii="Arial" w:hAnsi="Arial" w:cs="Arial"/>
        </w:rPr>
      </w:pPr>
      <w:r>
        <w:rPr>
          <w:rFonts w:ascii="Arial" w:hAnsi="Arial" w:cs="Arial"/>
        </w:rPr>
        <w:t xml:space="preserve">2.1.2.1. </w:t>
      </w:r>
      <w:r w:rsidRPr="00D22594">
        <w:rPr>
          <w:rFonts w:ascii="Arial" w:hAnsi="Arial" w:cs="Arial"/>
        </w:rPr>
        <w:t xml:space="preserve">I v tomto případě by mělo platit, že daňová relevance účetních odpisů </w:t>
      </w:r>
      <w:r>
        <w:rPr>
          <w:rFonts w:ascii="Arial" w:hAnsi="Arial" w:cs="Arial"/>
        </w:rPr>
        <w:t>u nabyvatele je</w:t>
      </w:r>
      <w:r w:rsidRPr="00D22594">
        <w:rPr>
          <w:rFonts w:ascii="Arial" w:hAnsi="Arial" w:cs="Arial"/>
        </w:rPr>
        <w:t xml:space="preserve"> omezena zůstatkovou účetní cenou. Je otázka, o jakou hodnotu se jedná v případě fyzické osoby, která vede daňovou evidenci. Domníváme se, že v tomto případě</w:t>
      </w:r>
      <w:r>
        <w:rPr>
          <w:rFonts w:ascii="Arial" w:hAnsi="Arial" w:cs="Arial"/>
        </w:rPr>
        <w:t xml:space="preserve"> mohou být dva alternativní závěry:</w:t>
      </w:r>
    </w:p>
    <w:p w:rsidR="00855261" w:rsidRDefault="00855261" w:rsidP="00855261">
      <w:pPr>
        <w:jc w:val="both"/>
        <w:rPr>
          <w:rFonts w:ascii="Arial" w:hAnsi="Arial" w:cs="Arial"/>
        </w:rPr>
      </w:pPr>
      <w:r>
        <w:rPr>
          <w:rFonts w:ascii="Arial" w:hAnsi="Arial" w:cs="Arial"/>
        </w:rPr>
        <w:t>2.1.2.1.1. P</w:t>
      </w:r>
      <w:r w:rsidRPr="00D22594">
        <w:rPr>
          <w:rFonts w:ascii="Arial" w:hAnsi="Arial" w:cs="Arial"/>
        </w:rPr>
        <w:t xml:space="preserve">ůjde </w:t>
      </w:r>
      <w:r>
        <w:rPr>
          <w:rFonts w:ascii="Arial" w:hAnsi="Arial" w:cs="Arial"/>
        </w:rPr>
        <w:t xml:space="preserve">o hodnotu zachycenou v daňové evidenci (ve většině případů </w:t>
      </w:r>
      <w:r w:rsidRPr="00D22594">
        <w:rPr>
          <w:rFonts w:ascii="Arial" w:hAnsi="Arial" w:cs="Arial"/>
        </w:rPr>
        <w:t>o</w:t>
      </w:r>
      <w:r>
        <w:rPr>
          <w:rFonts w:ascii="Arial" w:hAnsi="Arial" w:cs="Arial"/>
        </w:rPr>
        <w:t xml:space="preserve"> pořizovací hodnotu takovéhoto majetku)</w:t>
      </w:r>
      <w:r w:rsidRPr="00D22594">
        <w:rPr>
          <w:rFonts w:ascii="Arial" w:hAnsi="Arial" w:cs="Arial"/>
        </w:rPr>
        <w:t xml:space="preserve">. </w:t>
      </w:r>
    </w:p>
    <w:p w:rsidR="00855261" w:rsidRPr="00D22594" w:rsidRDefault="00855261" w:rsidP="00855261">
      <w:pPr>
        <w:jc w:val="both"/>
        <w:rPr>
          <w:rFonts w:ascii="Arial" w:hAnsi="Arial" w:cs="Arial"/>
        </w:rPr>
      </w:pPr>
      <w:r>
        <w:rPr>
          <w:rFonts w:ascii="Arial" w:hAnsi="Arial" w:cs="Arial"/>
        </w:rPr>
        <w:t xml:space="preserve">2.1.2.1.2. </w:t>
      </w:r>
      <w:r w:rsidRPr="00D22594">
        <w:rPr>
          <w:rFonts w:ascii="Arial" w:hAnsi="Arial" w:cs="Arial"/>
        </w:rPr>
        <w:t>Alternativním výkladem by pak bylo, že jelikož takováto hodnota není v případě daňové evidence k dispozici, daná restrikce se neuplatní a v</w:t>
      </w:r>
      <w:r>
        <w:rPr>
          <w:rFonts w:ascii="Arial" w:hAnsi="Arial" w:cs="Arial"/>
        </w:rPr>
        <w:t> </w:t>
      </w:r>
      <w:r w:rsidRPr="00D22594">
        <w:rPr>
          <w:rFonts w:ascii="Arial" w:hAnsi="Arial" w:cs="Arial"/>
        </w:rPr>
        <w:t>souladu</w:t>
      </w:r>
      <w:r>
        <w:rPr>
          <w:rFonts w:ascii="Arial" w:hAnsi="Arial" w:cs="Arial"/>
        </w:rPr>
        <w:t xml:space="preserve"> s první větou § 24 odst. 1 písm. v) </w:t>
      </w:r>
      <w:proofErr w:type="gramStart"/>
      <w:r>
        <w:rPr>
          <w:rFonts w:ascii="Arial" w:hAnsi="Arial" w:cs="Arial"/>
        </w:rPr>
        <w:t>bod</w:t>
      </w:r>
      <w:proofErr w:type="gramEnd"/>
      <w:r>
        <w:rPr>
          <w:rFonts w:ascii="Arial" w:hAnsi="Arial" w:cs="Arial"/>
        </w:rPr>
        <w:t xml:space="preserve"> 1. ZDP budou</w:t>
      </w:r>
      <w:r w:rsidRPr="00D22594">
        <w:rPr>
          <w:rFonts w:ascii="Arial" w:hAnsi="Arial" w:cs="Arial"/>
        </w:rPr>
        <w:t xml:space="preserve"> účetními odpisy bez dalšího daňově relevantní.</w:t>
      </w:r>
    </w:p>
    <w:p w:rsidR="00855261" w:rsidRPr="00D22594" w:rsidRDefault="00855261" w:rsidP="00855261">
      <w:pPr>
        <w:jc w:val="both"/>
        <w:rPr>
          <w:rFonts w:ascii="Arial" w:hAnsi="Arial" w:cs="Arial"/>
        </w:rPr>
      </w:pPr>
      <w:r>
        <w:rPr>
          <w:rFonts w:ascii="Arial" w:hAnsi="Arial" w:cs="Arial"/>
        </w:rPr>
        <w:t>2.1.2</w:t>
      </w:r>
      <w:r w:rsidRPr="00D22594">
        <w:rPr>
          <w:rFonts w:ascii="Arial" w:hAnsi="Arial" w:cs="Arial"/>
        </w:rPr>
        <w:t>.</w:t>
      </w:r>
      <w:r>
        <w:rPr>
          <w:rFonts w:ascii="Arial" w:hAnsi="Arial" w:cs="Arial"/>
        </w:rPr>
        <w:t>2.</w:t>
      </w:r>
      <w:r w:rsidRPr="00D22594">
        <w:rPr>
          <w:rFonts w:ascii="Arial" w:hAnsi="Arial" w:cs="Arial"/>
        </w:rPr>
        <w:t xml:space="preserve"> Pokud by došlo k tomu, že majetek bude přeceněn směrem dolů, bude rozdíl mezi zůstatkovou účetní cenou u převodce a nižším oceněním u nabyvatele položkou snižující základ </w:t>
      </w:r>
      <w:proofErr w:type="gramStart"/>
      <w:r w:rsidRPr="00D22594">
        <w:rPr>
          <w:rFonts w:ascii="Arial" w:hAnsi="Arial" w:cs="Arial"/>
        </w:rPr>
        <w:t>daně</w:t>
      </w:r>
      <w:proofErr w:type="gramEnd"/>
      <w:r w:rsidRPr="00D22594">
        <w:rPr>
          <w:rFonts w:ascii="Arial" w:hAnsi="Arial" w:cs="Arial"/>
        </w:rPr>
        <w:t>. Toto snížení je možné realizovat buďto jednorázově nebo postupně</w:t>
      </w:r>
      <w:r>
        <w:rPr>
          <w:rFonts w:ascii="Arial" w:hAnsi="Arial" w:cs="Arial"/>
        </w:rPr>
        <w:t xml:space="preserve"> po dobu účetního odpisování</w:t>
      </w:r>
      <w:r w:rsidRPr="00D22594">
        <w:rPr>
          <w:rFonts w:ascii="Arial" w:hAnsi="Arial" w:cs="Arial"/>
        </w:rPr>
        <w:t xml:space="preserve">. </w:t>
      </w:r>
    </w:p>
    <w:p w:rsidR="00855261" w:rsidRDefault="00855261" w:rsidP="00855261">
      <w:pPr>
        <w:jc w:val="both"/>
        <w:rPr>
          <w:rFonts w:ascii="Arial" w:hAnsi="Arial" w:cs="Arial"/>
          <w:u w:val="single"/>
        </w:rPr>
      </w:pPr>
    </w:p>
    <w:p w:rsidR="00855261" w:rsidRPr="00584996" w:rsidRDefault="00855261" w:rsidP="00855261">
      <w:pPr>
        <w:jc w:val="both"/>
        <w:rPr>
          <w:rFonts w:ascii="Arial" w:hAnsi="Arial" w:cs="Arial"/>
          <w:u w:val="single"/>
        </w:rPr>
      </w:pPr>
      <w:r w:rsidRPr="00584996">
        <w:rPr>
          <w:rFonts w:ascii="Arial" w:hAnsi="Arial" w:cs="Arial"/>
          <w:u w:val="single"/>
        </w:rPr>
        <w:t xml:space="preserve">2.1.3. Převodce je fyzická osoba, která neměla daný majetek zahrnutý v obchodním majetku. </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sidRPr="00D22594">
        <w:rPr>
          <w:rFonts w:ascii="Arial" w:hAnsi="Arial" w:cs="Arial"/>
        </w:rPr>
        <w:t xml:space="preserve">V tomto případě nebude uplatněno popsané omezení v daňové uznatelnosti účetních odpisů a v souladu s § 24 odst. 2 písm. v) </w:t>
      </w:r>
      <w:proofErr w:type="gramStart"/>
      <w:r w:rsidRPr="00D22594">
        <w:rPr>
          <w:rFonts w:ascii="Arial" w:hAnsi="Arial" w:cs="Arial"/>
        </w:rPr>
        <w:t>bod</w:t>
      </w:r>
      <w:proofErr w:type="gramEnd"/>
      <w:r w:rsidRPr="00D22594">
        <w:rPr>
          <w:rFonts w:ascii="Arial" w:hAnsi="Arial" w:cs="Arial"/>
        </w:rPr>
        <w:t xml:space="preserve"> 1 ZDP budou daňovým výdajem účetní odpisy bez dalšího.</w:t>
      </w:r>
    </w:p>
    <w:p w:rsidR="00855261" w:rsidRDefault="00855261" w:rsidP="00855261">
      <w:pPr>
        <w:jc w:val="both"/>
        <w:rPr>
          <w:rFonts w:ascii="Arial" w:hAnsi="Arial" w:cs="Arial"/>
          <w:u w:val="single"/>
        </w:rPr>
      </w:pPr>
    </w:p>
    <w:p w:rsidR="00855261" w:rsidRPr="0026417A" w:rsidRDefault="00855261" w:rsidP="00855261">
      <w:pPr>
        <w:pStyle w:val="Odstavecseseznamem"/>
        <w:spacing w:after="0" w:line="240" w:lineRule="auto"/>
        <w:ind w:left="0"/>
        <w:jc w:val="both"/>
        <w:rPr>
          <w:rFonts w:ascii="Arial" w:hAnsi="Arial" w:cs="Arial"/>
          <w:b/>
          <w:sz w:val="24"/>
          <w:szCs w:val="24"/>
          <w:highlight w:val="cyan"/>
        </w:rPr>
      </w:pPr>
      <w:r w:rsidRPr="0026417A">
        <w:rPr>
          <w:rFonts w:ascii="Arial" w:hAnsi="Arial" w:cs="Arial"/>
          <w:b/>
          <w:bCs/>
          <w:sz w:val="24"/>
          <w:szCs w:val="24"/>
          <w:highlight w:val="cyan"/>
        </w:rPr>
        <w:t xml:space="preserve">K dílčímu závěru </w:t>
      </w:r>
      <w:r w:rsidRPr="0026417A">
        <w:rPr>
          <w:rFonts w:ascii="Arial" w:hAnsi="Arial" w:cs="Arial"/>
          <w:b/>
          <w:sz w:val="24"/>
          <w:szCs w:val="24"/>
          <w:highlight w:val="cyan"/>
        </w:rPr>
        <w:t xml:space="preserve">č. </w:t>
      </w:r>
      <w:r>
        <w:rPr>
          <w:rFonts w:ascii="Arial" w:hAnsi="Arial" w:cs="Arial"/>
          <w:b/>
          <w:sz w:val="24"/>
          <w:szCs w:val="24"/>
          <w:highlight w:val="cyan"/>
        </w:rPr>
        <w:t>2.1.1. (</w:t>
      </w:r>
      <w:proofErr w:type="gramStart"/>
      <w:r>
        <w:rPr>
          <w:rFonts w:ascii="Arial" w:hAnsi="Arial" w:cs="Arial"/>
          <w:b/>
          <w:sz w:val="24"/>
          <w:szCs w:val="24"/>
          <w:highlight w:val="cyan"/>
        </w:rPr>
        <w:t>převodce</w:t>
      </w:r>
      <w:proofErr w:type="gramEnd"/>
      <w:r>
        <w:rPr>
          <w:rFonts w:ascii="Arial" w:hAnsi="Arial" w:cs="Arial"/>
          <w:b/>
          <w:sz w:val="24"/>
          <w:szCs w:val="24"/>
          <w:highlight w:val="cyan"/>
        </w:rPr>
        <w:t xml:space="preserve"> je obchodní korporace)</w:t>
      </w:r>
    </w:p>
    <w:p w:rsidR="00855261" w:rsidRDefault="00855261" w:rsidP="00855261">
      <w:pPr>
        <w:jc w:val="both"/>
        <w:rPr>
          <w:rFonts w:ascii="Arial" w:hAnsi="Arial" w:cs="Arial"/>
          <w:b/>
          <w:bCs/>
          <w:iCs/>
          <w:u w:val="single"/>
        </w:rPr>
      </w:pPr>
    </w:p>
    <w:p w:rsidR="00855261" w:rsidRPr="006C6BA9" w:rsidRDefault="00855261" w:rsidP="00855261">
      <w:pPr>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bodu </w:t>
      </w:r>
      <w:r>
        <w:rPr>
          <w:rFonts w:ascii="Arial" w:hAnsi="Arial" w:cs="Arial"/>
          <w:b/>
          <w:bCs/>
          <w:iCs/>
          <w:highlight w:val="cyan"/>
          <w:u w:val="single"/>
          <w:lang w:val="de-DE"/>
        </w:rPr>
        <w:t>2</w:t>
      </w:r>
      <w:r w:rsidRPr="006C6BA9">
        <w:rPr>
          <w:rFonts w:ascii="Arial" w:hAnsi="Arial" w:cs="Arial"/>
          <w:b/>
          <w:bCs/>
          <w:iCs/>
          <w:highlight w:val="cyan"/>
          <w:u w:val="single"/>
          <w:lang w:val="de-DE"/>
        </w:rPr>
        <w:t>.1.1.1.</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že v tomto případě budou účetní odpisy z hmotného majetku, který není hmotným majetkem podle ZDP, u nabyvatele daňově uznatelným výdajem pouze do výše zůstatkové ceny tohoto majetku evidované u vkladatele ke dni vkladu (viz § 24 odst. 2 písm. v) bod 1 ZDP).</w:t>
      </w:r>
      <w:r w:rsidRPr="006C6BA9">
        <w:rPr>
          <w:rFonts w:ascii="Arial" w:hAnsi="Arial" w:cs="Arial"/>
          <w:i/>
          <w:highlight w:val="cyan"/>
        </w:rPr>
        <w:t xml:space="preserve"> </w:t>
      </w:r>
    </w:p>
    <w:p w:rsidR="00855261" w:rsidRPr="006C6BA9" w:rsidRDefault="00855261" w:rsidP="00855261">
      <w:pPr>
        <w:spacing w:before="240"/>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bodu </w:t>
      </w:r>
      <w:r>
        <w:rPr>
          <w:rFonts w:ascii="Arial" w:hAnsi="Arial" w:cs="Arial"/>
          <w:b/>
          <w:bCs/>
          <w:iCs/>
          <w:highlight w:val="cyan"/>
          <w:u w:val="single"/>
          <w:lang w:val="de-DE"/>
        </w:rPr>
        <w:t>2</w:t>
      </w:r>
      <w:r w:rsidRPr="006C6BA9">
        <w:rPr>
          <w:rFonts w:ascii="Arial" w:hAnsi="Arial" w:cs="Arial"/>
          <w:b/>
          <w:bCs/>
          <w:iCs/>
          <w:highlight w:val="cyan"/>
          <w:u w:val="single"/>
          <w:lang w:val="de-DE"/>
        </w:rPr>
        <w:t>.1.1.</w:t>
      </w:r>
      <w:r>
        <w:rPr>
          <w:rFonts w:ascii="Arial" w:hAnsi="Arial" w:cs="Arial"/>
          <w:b/>
          <w:bCs/>
          <w:iCs/>
          <w:highlight w:val="cyan"/>
          <w:u w:val="single"/>
          <w:lang w:val="de-DE"/>
        </w:rPr>
        <w:t>2</w:t>
      </w:r>
      <w:r w:rsidRPr="006C6BA9">
        <w:rPr>
          <w:rFonts w:ascii="Arial" w:hAnsi="Arial" w:cs="Arial"/>
          <w:b/>
          <w:bCs/>
          <w:iCs/>
          <w:highlight w:val="cyan"/>
          <w:u w:val="single"/>
          <w:lang w:val="de-DE"/>
        </w:rPr>
        <w:t>.</w:t>
      </w:r>
    </w:p>
    <w:p w:rsidR="00855261" w:rsidRDefault="00855261" w:rsidP="00855261">
      <w:pPr>
        <w:spacing w:before="120" w:after="120"/>
        <w:jc w:val="both"/>
        <w:rPr>
          <w:rFonts w:ascii="Arial" w:hAnsi="Arial" w:cs="Arial"/>
          <w:i/>
          <w:highlight w:val="cyan"/>
        </w:rPr>
      </w:pPr>
      <w:r>
        <w:rPr>
          <w:rFonts w:ascii="Arial" w:hAnsi="Arial" w:cs="Arial"/>
          <w:i/>
          <w:highlight w:val="cyan"/>
        </w:rPr>
        <w:t>S</w:t>
      </w:r>
      <w:r w:rsidRPr="006C6BA9">
        <w:rPr>
          <w:rFonts w:ascii="Arial" w:hAnsi="Arial" w:cs="Arial"/>
          <w:i/>
          <w:highlight w:val="cyan"/>
        </w:rPr>
        <w:t xml:space="preserve">ouhlas se závěrem předkladatele. </w:t>
      </w:r>
    </w:p>
    <w:p w:rsidR="00855261" w:rsidRPr="00AF5996" w:rsidRDefault="00855261" w:rsidP="00855261">
      <w:pPr>
        <w:pStyle w:val="Bezmezer"/>
        <w:autoSpaceDN w:val="0"/>
        <w:jc w:val="both"/>
        <w:textAlignment w:val="baseline"/>
        <w:rPr>
          <w:rFonts w:ascii="Arial" w:hAnsi="Arial" w:cs="Arial"/>
          <w:b/>
          <w:bCs/>
          <w:iCs/>
          <w:highlight w:val="cyan"/>
          <w:u w:val="single"/>
          <w:lang w:val="de-DE"/>
        </w:rPr>
      </w:pPr>
      <w:r>
        <w:rPr>
          <w:rFonts w:ascii="Arial" w:hAnsi="Arial" w:cs="Arial"/>
          <w:i/>
          <w:sz w:val="24"/>
          <w:szCs w:val="24"/>
          <w:highlight w:val="cyan"/>
        </w:rPr>
        <w:t xml:space="preserve">Při </w:t>
      </w:r>
      <w:r w:rsidRPr="00135680">
        <w:rPr>
          <w:rFonts w:ascii="Arial" w:hAnsi="Arial" w:cs="Arial"/>
          <w:i/>
          <w:sz w:val="24"/>
          <w:szCs w:val="24"/>
          <w:highlight w:val="cyan"/>
        </w:rPr>
        <w:t>nabytí hmotného majetku, kt</w:t>
      </w:r>
      <w:r>
        <w:rPr>
          <w:rFonts w:ascii="Arial" w:hAnsi="Arial" w:cs="Arial"/>
          <w:i/>
          <w:sz w:val="24"/>
          <w:szCs w:val="24"/>
          <w:highlight w:val="cyan"/>
        </w:rPr>
        <w:t>erý není hmotným majet</w:t>
      </w:r>
      <w:r w:rsidRPr="00135680">
        <w:rPr>
          <w:rFonts w:ascii="Arial" w:hAnsi="Arial" w:cs="Arial"/>
          <w:i/>
          <w:sz w:val="24"/>
          <w:szCs w:val="24"/>
          <w:highlight w:val="cyan"/>
        </w:rPr>
        <w:t>k</w:t>
      </w:r>
      <w:r>
        <w:rPr>
          <w:rFonts w:ascii="Arial" w:hAnsi="Arial" w:cs="Arial"/>
          <w:i/>
          <w:sz w:val="24"/>
          <w:szCs w:val="24"/>
          <w:highlight w:val="cyan"/>
        </w:rPr>
        <w:t>e</w:t>
      </w:r>
      <w:r w:rsidRPr="00135680">
        <w:rPr>
          <w:rFonts w:ascii="Arial" w:hAnsi="Arial" w:cs="Arial"/>
          <w:i/>
          <w:sz w:val="24"/>
          <w:szCs w:val="24"/>
          <w:highlight w:val="cyan"/>
        </w:rPr>
        <w:t xml:space="preserve">m dle ZDP, na základě opakovaného vkladu bude u nabyvatele </w:t>
      </w:r>
      <w:r>
        <w:rPr>
          <w:rFonts w:ascii="Arial" w:hAnsi="Arial" w:cs="Arial"/>
          <w:i/>
          <w:sz w:val="24"/>
          <w:szCs w:val="24"/>
          <w:highlight w:val="cyan"/>
        </w:rPr>
        <w:t>účetní odpis dle § 24 odst. 2 písm. v) bodu 1 ZDP</w:t>
      </w:r>
      <w:r w:rsidRPr="00135680">
        <w:rPr>
          <w:rFonts w:ascii="Arial" w:hAnsi="Arial" w:cs="Arial"/>
          <w:i/>
          <w:sz w:val="24"/>
          <w:szCs w:val="24"/>
          <w:highlight w:val="cyan"/>
        </w:rPr>
        <w:t xml:space="preserve"> </w:t>
      </w:r>
      <w:r>
        <w:rPr>
          <w:rFonts w:ascii="Arial" w:hAnsi="Arial" w:cs="Arial"/>
          <w:i/>
          <w:sz w:val="24"/>
          <w:szCs w:val="24"/>
          <w:highlight w:val="cyan"/>
        </w:rPr>
        <w:t>daňovým výdajem jen do výše</w:t>
      </w:r>
      <w:r w:rsidRPr="00135680">
        <w:rPr>
          <w:rFonts w:ascii="Arial" w:hAnsi="Arial" w:cs="Arial"/>
          <w:i/>
          <w:sz w:val="24"/>
          <w:szCs w:val="24"/>
          <w:highlight w:val="cyan"/>
        </w:rPr>
        <w:t xml:space="preserve"> </w:t>
      </w:r>
      <w:r>
        <w:rPr>
          <w:rFonts w:ascii="Arial" w:hAnsi="Arial" w:cs="Arial"/>
          <w:i/>
          <w:sz w:val="24"/>
          <w:szCs w:val="24"/>
          <w:highlight w:val="cyan"/>
        </w:rPr>
        <w:t>zůstatkové ceny tohoto majetku u „předchozího“ vkladatele ke dni vkladu</w:t>
      </w:r>
      <w:r w:rsidRPr="00AF5996">
        <w:rPr>
          <w:rFonts w:ascii="Arial" w:hAnsi="Arial" w:cs="Arial"/>
          <w:i/>
          <w:sz w:val="24"/>
          <w:szCs w:val="24"/>
          <w:highlight w:val="cyan"/>
        </w:rPr>
        <w:t xml:space="preserve">, a to i v případě, </w:t>
      </w:r>
      <w:r>
        <w:rPr>
          <w:rFonts w:ascii="Arial" w:hAnsi="Arial" w:cs="Arial"/>
          <w:i/>
          <w:sz w:val="24"/>
          <w:szCs w:val="24"/>
          <w:highlight w:val="cyan"/>
        </w:rPr>
        <w:t>že</w:t>
      </w:r>
      <w:r w:rsidRPr="00AF5996">
        <w:rPr>
          <w:rFonts w:ascii="Arial" w:hAnsi="Arial" w:cs="Arial"/>
          <w:i/>
          <w:sz w:val="24"/>
          <w:szCs w:val="24"/>
          <w:highlight w:val="cyan"/>
        </w:rPr>
        <w:t xml:space="preserve"> byl tento majetek u vkladate</w:t>
      </w:r>
      <w:r>
        <w:rPr>
          <w:rFonts w:ascii="Arial" w:hAnsi="Arial" w:cs="Arial"/>
          <w:i/>
          <w:sz w:val="24"/>
          <w:szCs w:val="24"/>
          <w:highlight w:val="cyan"/>
        </w:rPr>
        <w:t>l</w:t>
      </w:r>
      <w:r w:rsidRPr="00AF5996">
        <w:rPr>
          <w:rFonts w:ascii="Arial" w:hAnsi="Arial" w:cs="Arial"/>
          <w:i/>
          <w:sz w:val="24"/>
          <w:szCs w:val="24"/>
          <w:highlight w:val="cyan"/>
        </w:rPr>
        <w:t>e rovněž nabyt vkladem</w:t>
      </w:r>
      <w:r w:rsidRPr="00AF5996">
        <w:rPr>
          <w:rFonts w:ascii="Arial" w:hAnsi="Arial" w:cs="Arial"/>
          <w:i/>
          <w:highlight w:val="cyan"/>
        </w:rPr>
        <w:t>.</w:t>
      </w:r>
    </w:p>
    <w:p w:rsidR="00855261" w:rsidRPr="006C6BA9" w:rsidRDefault="00855261" w:rsidP="00855261">
      <w:pPr>
        <w:spacing w:before="240"/>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bodu </w:t>
      </w:r>
      <w:r>
        <w:rPr>
          <w:rFonts w:ascii="Arial" w:hAnsi="Arial" w:cs="Arial"/>
          <w:b/>
          <w:bCs/>
          <w:iCs/>
          <w:highlight w:val="cyan"/>
          <w:u w:val="single"/>
          <w:lang w:val="de-DE"/>
        </w:rPr>
        <w:t>2</w:t>
      </w:r>
      <w:r w:rsidRPr="006C6BA9">
        <w:rPr>
          <w:rFonts w:ascii="Arial" w:hAnsi="Arial" w:cs="Arial"/>
          <w:b/>
          <w:bCs/>
          <w:iCs/>
          <w:highlight w:val="cyan"/>
          <w:u w:val="single"/>
          <w:lang w:val="de-DE"/>
        </w:rPr>
        <w:t>.1.</w:t>
      </w:r>
      <w:r>
        <w:rPr>
          <w:rFonts w:ascii="Arial" w:hAnsi="Arial" w:cs="Arial"/>
          <w:b/>
          <w:bCs/>
          <w:iCs/>
          <w:highlight w:val="cyan"/>
          <w:u w:val="single"/>
          <w:lang w:val="de-DE"/>
        </w:rPr>
        <w:t>1</w:t>
      </w:r>
      <w:r w:rsidRPr="006C6BA9">
        <w:rPr>
          <w:rFonts w:ascii="Arial" w:hAnsi="Arial" w:cs="Arial"/>
          <w:b/>
          <w:bCs/>
          <w:iCs/>
          <w:highlight w:val="cyan"/>
          <w:u w:val="single"/>
          <w:lang w:val="de-DE"/>
        </w:rPr>
        <w:t>.</w:t>
      </w:r>
      <w:r>
        <w:rPr>
          <w:rFonts w:ascii="Arial" w:hAnsi="Arial" w:cs="Arial"/>
          <w:b/>
          <w:bCs/>
          <w:iCs/>
          <w:highlight w:val="cyan"/>
          <w:u w:val="single"/>
          <w:lang w:val="de-DE"/>
        </w:rPr>
        <w:t>3</w:t>
      </w:r>
      <w:r w:rsidRPr="006C6BA9">
        <w:rPr>
          <w:rFonts w:ascii="Arial" w:hAnsi="Arial" w:cs="Arial"/>
          <w:b/>
          <w:bCs/>
          <w:iCs/>
          <w:highlight w:val="cyan"/>
          <w:u w:val="single"/>
          <w:lang w:val="de-DE"/>
        </w:rPr>
        <w:t>.</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lastRenderedPageBreak/>
        <w:t>Nes</w:t>
      </w:r>
      <w:r w:rsidRPr="006C6BA9">
        <w:rPr>
          <w:rFonts w:ascii="Arial" w:hAnsi="Arial" w:cs="Arial"/>
          <w:i/>
          <w:highlight w:val="cyan"/>
        </w:rPr>
        <w:t xml:space="preserve">ouhlas se závěrem předkladatele. </w:t>
      </w:r>
    </w:p>
    <w:p w:rsidR="00855261" w:rsidRDefault="00855261" w:rsidP="00855261">
      <w:pPr>
        <w:jc w:val="both"/>
        <w:rPr>
          <w:rFonts w:ascii="Arial" w:hAnsi="Arial" w:cs="Arial"/>
          <w:i/>
        </w:rPr>
      </w:pPr>
      <w:r w:rsidRPr="00520388">
        <w:rPr>
          <w:rFonts w:ascii="Arial" w:hAnsi="Arial" w:cs="Arial"/>
          <w:i/>
          <w:highlight w:val="cyan"/>
        </w:rPr>
        <w:t>Ustanovení § 24 odst. v)</w:t>
      </w:r>
      <w:r>
        <w:rPr>
          <w:rFonts w:ascii="Arial" w:hAnsi="Arial" w:cs="Arial"/>
          <w:i/>
          <w:highlight w:val="cyan"/>
        </w:rPr>
        <w:t xml:space="preserve"> </w:t>
      </w:r>
      <w:proofErr w:type="gramStart"/>
      <w:r>
        <w:rPr>
          <w:rFonts w:ascii="Arial" w:hAnsi="Arial" w:cs="Arial"/>
          <w:i/>
          <w:highlight w:val="cyan"/>
        </w:rPr>
        <w:t>bod</w:t>
      </w:r>
      <w:proofErr w:type="gramEnd"/>
      <w:r>
        <w:rPr>
          <w:rFonts w:ascii="Arial" w:hAnsi="Arial" w:cs="Arial"/>
          <w:i/>
          <w:highlight w:val="cyan"/>
        </w:rPr>
        <w:t xml:space="preserve"> 1 </w:t>
      </w:r>
      <w:r w:rsidRPr="00520388">
        <w:rPr>
          <w:rFonts w:ascii="Arial" w:hAnsi="Arial" w:cs="Arial"/>
          <w:i/>
          <w:highlight w:val="cyan"/>
        </w:rPr>
        <w:t xml:space="preserve">ZDP limituje daňově uznatelný výdaj z hmotného majetku, který není hmotným majetkem dle ZDP, nabytého vkladem, tj. </w:t>
      </w:r>
      <w:proofErr w:type="gramStart"/>
      <w:r w:rsidRPr="00520388">
        <w:rPr>
          <w:rFonts w:ascii="Arial" w:hAnsi="Arial" w:cs="Arial"/>
          <w:i/>
          <w:highlight w:val="cyan"/>
        </w:rPr>
        <w:t>limituje</w:t>
      </w:r>
      <w:proofErr w:type="gramEnd"/>
      <w:r w:rsidRPr="00520388">
        <w:rPr>
          <w:rFonts w:ascii="Arial" w:hAnsi="Arial" w:cs="Arial"/>
          <w:i/>
          <w:highlight w:val="cyan"/>
        </w:rPr>
        <w:t xml:space="preserve"> účetní odpisy, které jsou ve smyslu § 21h ZDP u nabyvatele účetním nákladem (součástí výsledku hospodaření), a to výší zůstatkové ceny tohoto majetku evidované u</w:t>
      </w:r>
      <w:r>
        <w:rPr>
          <w:rFonts w:ascii="Arial" w:hAnsi="Arial" w:cs="Arial"/>
          <w:i/>
          <w:highlight w:val="cyan"/>
        </w:rPr>
        <w:t> </w:t>
      </w:r>
      <w:r w:rsidRPr="00520388">
        <w:rPr>
          <w:rFonts w:ascii="Arial" w:hAnsi="Arial" w:cs="Arial"/>
          <w:i/>
          <w:highlight w:val="cyan"/>
        </w:rPr>
        <w:t xml:space="preserve">vkladatele ke dni vkladu. Pokud je tedy u nabyvatele zůstatková cena vloženého majetku vyšší než zůstatková cena u vkladatele ke dni vkladu uplatní se limitace daňově uznatelných účetních odpisů uvedená v § 24 odst. 2 písm. v) </w:t>
      </w:r>
      <w:proofErr w:type="gramStart"/>
      <w:r>
        <w:rPr>
          <w:rFonts w:ascii="Arial" w:hAnsi="Arial" w:cs="Arial"/>
          <w:i/>
          <w:highlight w:val="cyan"/>
        </w:rPr>
        <w:t>bod</w:t>
      </w:r>
      <w:proofErr w:type="gramEnd"/>
      <w:r>
        <w:rPr>
          <w:rFonts w:ascii="Arial" w:hAnsi="Arial" w:cs="Arial"/>
          <w:i/>
          <w:highlight w:val="cyan"/>
        </w:rPr>
        <w:t xml:space="preserve"> 1 </w:t>
      </w:r>
      <w:r w:rsidRPr="00520388">
        <w:rPr>
          <w:rFonts w:ascii="Arial" w:hAnsi="Arial" w:cs="Arial"/>
          <w:i/>
          <w:highlight w:val="cyan"/>
        </w:rPr>
        <w:t>ZDP</w:t>
      </w:r>
      <w:r>
        <w:rPr>
          <w:rFonts w:ascii="Arial" w:hAnsi="Arial" w:cs="Arial"/>
          <w:i/>
          <w:highlight w:val="cyan"/>
        </w:rPr>
        <w:t>, a to až od okamžiku, kdy úhrn účetních odpisů převýší tuto zůstatkovou cenu.</w:t>
      </w:r>
      <w:r w:rsidRPr="00520388">
        <w:rPr>
          <w:rFonts w:ascii="Arial" w:hAnsi="Arial" w:cs="Arial"/>
          <w:i/>
          <w:highlight w:val="cyan"/>
        </w:rPr>
        <w:t xml:space="preserve"> V situaci, kdy u vloženého majetku je u nabyvatele zůstatková cena nižší než zůstatková cena u</w:t>
      </w:r>
      <w:r>
        <w:rPr>
          <w:rFonts w:ascii="Arial" w:hAnsi="Arial" w:cs="Arial"/>
          <w:i/>
          <w:highlight w:val="cyan"/>
        </w:rPr>
        <w:t> </w:t>
      </w:r>
      <w:r w:rsidRPr="00520388">
        <w:rPr>
          <w:rFonts w:ascii="Arial" w:hAnsi="Arial" w:cs="Arial"/>
          <w:i/>
          <w:highlight w:val="cyan"/>
        </w:rPr>
        <w:t xml:space="preserve">vkladatele ke dni vkladu se ustanovení § 24 odst. 2 písm. v) </w:t>
      </w:r>
      <w:proofErr w:type="gramStart"/>
      <w:r>
        <w:rPr>
          <w:rFonts w:ascii="Arial" w:hAnsi="Arial" w:cs="Arial"/>
          <w:i/>
          <w:highlight w:val="cyan"/>
        </w:rPr>
        <w:t>bod</w:t>
      </w:r>
      <w:proofErr w:type="gramEnd"/>
      <w:r>
        <w:rPr>
          <w:rFonts w:ascii="Arial" w:hAnsi="Arial" w:cs="Arial"/>
          <w:i/>
          <w:highlight w:val="cyan"/>
        </w:rPr>
        <w:t xml:space="preserve"> 1 </w:t>
      </w:r>
      <w:r w:rsidRPr="00520388">
        <w:rPr>
          <w:rFonts w:ascii="Arial" w:hAnsi="Arial" w:cs="Arial"/>
          <w:i/>
          <w:highlight w:val="cyan"/>
        </w:rPr>
        <w:t>neuplatní, neboť účetní odpisy z hmotného majetku, který není hmotným majetk</w:t>
      </w:r>
      <w:r>
        <w:rPr>
          <w:rFonts w:ascii="Arial" w:hAnsi="Arial" w:cs="Arial"/>
          <w:i/>
          <w:highlight w:val="cyan"/>
        </w:rPr>
        <w:t>e</w:t>
      </w:r>
      <w:r w:rsidRPr="00520388">
        <w:rPr>
          <w:rFonts w:ascii="Arial" w:hAnsi="Arial" w:cs="Arial"/>
          <w:i/>
          <w:highlight w:val="cyan"/>
        </w:rPr>
        <w:t xml:space="preserve">m dle ZDP nepřekračují zůstatkovou cenu u vkladatele. Ustanovení, </w:t>
      </w:r>
      <w:proofErr w:type="gramStart"/>
      <w:r w:rsidRPr="00520388">
        <w:rPr>
          <w:rFonts w:ascii="Arial" w:hAnsi="Arial" w:cs="Arial"/>
          <w:i/>
          <w:highlight w:val="cyan"/>
        </w:rPr>
        <w:t>na</w:t>
      </w:r>
      <w:proofErr w:type="gramEnd"/>
      <w:r w:rsidRPr="00520388">
        <w:rPr>
          <w:rFonts w:ascii="Arial" w:hAnsi="Arial" w:cs="Arial"/>
          <w:i/>
          <w:highlight w:val="cyan"/>
        </w:rPr>
        <w:t xml:space="preserve"> základě kterého by bylo možné o uvedený rozdíl v zůstatkových cenách snížit u nabyvatele základ daně, ZDP neobsahuje.</w:t>
      </w:r>
    </w:p>
    <w:p w:rsidR="00855261" w:rsidRDefault="00855261" w:rsidP="00855261">
      <w:pPr>
        <w:jc w:val="both"/>
        <w:rPr>
          <w:rFonts w:ascii="Arial" w:hAnsi="Arial" w:cs="Arial"/>
          <w:i/>
        </w:rPr>
      </w:pPr>
    </w:p>
    <w:p w:rsidR="00855261" w:rsidRPr="0026417A" w:rsidRDefault="00855261" w:rsidP="00855261">
      <w:pPr>
        <w:pStyle w:val="Odstavecseseznamem"/>
        <w:spacing w:after="0" w:line="240" w:lineRule="auto"/>
        <w:ind w:left="0"/>
        <w:jc w:val="both"/>
        <w:rPr>
          <w:rFonts w:ascii="Arial" w:hAnsi="Arial" w:cs="Arial"/>
          <w:b/>
          <w:sz w:val="24"/>
          <w:szCs w:val="24"/>
          <w:highlight w:val="cyan"/>
        </w:rPr>
      </w:pPr>
      <w:r w:rsidRPr="0026417A">
        <w:rPr>
          <w:rFonts w:ascii="Arial" w:hAnsi="Arial" w:cs="Arial"/>
          <w:b/>
          <w:bCs/>
          <w:sz w:val="24"/>
          <w:szCs w:val="24"/>
          <w:highlight w:val="cyan"/>
        </w:rPr>
        <w:t xml:space="preserve">K dílčímu závěru </w:t>
      </w:r>
      <w:r w:rsidRPr="0026417A">
        <w:rPr>
          <w:rFonts w:ascii="Arial" w:hAnsi="Arial" w:cs="Arial"/>
          <w:b/>
          <w:sz w:val="24"/>
          <w:szCs w:val="24"/>
          <w:highlight w:val="cyan"/>
        </w:rPr>
        <w:t xml:space="preserve">č. </w:t>
      </w:r>
      <w:r>
        <w:rPr>
          <w:rFonts w:ascii="Arial" w:hAnsi="Arial" w:cs="Arial"/>
          <w:b/>
          <w:sz w:val="24"/>
          <w:szCs w:val="24"/>
          <w:highlight w:val="cyan"/>
        </w:rPr>
        <w:t>2.1.2. (</w:t>
      </w:r>
      <w:proofErr w:type="gramStart"/>
      <w:r>
        <w:rPr>
          <w:rFonts w:ascii="Arial" w:hAnsi="Arial" w:cs="Arial"/>
          <w:b/>
          <w:sz w:val="24"/>
          <w:szCs w:val="24"/>
          <w:highlight w:val="cyan"/>
        </w:rPr>
        <w:t>p</w:t>
      </w:r>
      <w:r w:rsidRPr="000C7A36">
        <w:rPr>
          <w:rFonts w:ascii="Arial" w:hAnsi="Arial" w:cs="Arial"/>
          <w:b/>
          <w:sz w:val="24"/>
          <w:szCs w:val="24"/>
          <w:highlight w:val="cyan"/>
        </w:rPr>
        <w:t>řevodce</w:t>
      </w:r>
      <w:proofErr w:type="gramEnd"/>
      <w:r w:rsidRPr="000C7A36">
        <w:rPr>
          <w:rFonts w:ascii="Arial" w:hAnsi="Arial" w:cs="Arial"/>
          <w:b/>
          <w:sz w:val="24"/>
          <w:szCs w:val="24"/>
          <w:highlight w:val="cyan"/>
        </w:rPr>
        <w:t xml:space="preserve"> je fyzická osoba, která měla </w:t>
      </w:r>
      <w:r>
        <w:rPr>
          <w:rFonts w:ascii="Arial" w:hAnsi="Arial" w:cs="Arial"/>
          <w:b/>
          <w:sz w:val="24"/>
          <w:szCs w:val="24"/>
          <w:highlight w:val="cyan"/>
        </w:rPr>
        <w:t>hmotný majetek, který není hmotným majetkem dle ZDP zahrnutý</w:t>
      </w:r>
      <w:r w:rsidRPr="000C7A36">
        <w:rPr>
          <w:rFonts w:ascii="Arial" w:hAnsi="Arial" w:cs="Arial"/>
          <w:b/>
          <w:sz w:val="24"/>
          <w:szCs w:val="24"/>
          <w:highlight w:val="cyan"/>
        </w:rPr>
        <w:t xml:space="preserve"> v obchodním majetku</w:t>
      </w:r>
      <w:r>
        <w:rPr>
          <w:rFonts w:ascii="Arial" w:hAnsi="Arial" w:cs="Arial"/>
          <w:b/>
          <w:sz w:val="24"/>
          <w:szCs w:val="24"/>
          <w:highlight w:val="cyan"/>
        </w:rPr>
        <w:t>)</w:t>
      </w:r>
    </w:p>
    <w:p w:rsidR="00855261" w:rsidRDefault="00855261" w:rsidP="00855261">
      <w:pPr>
        <w:jc w:val="both"/>
        <w:rPr>
          <w:rFonts w:ascii="Arial" w:hAnsi="Arial" w:cs="Arial"/>
          <w:b/>
          <w:bCs/>
          <w:iCs/>
          <w:u w:val="single"/>
        </w:rPr>
      </w:pPr>
    </w:p>
    <w:p w:rsidR="00855261" w:rsidRDefault="00855261" w:rsidP="00855261">
      <w:pPr>
        <w:jc w:val="both"/>
        <w:rPr>
          <w:rFonts w:ascii="Arial" w:hAnsi="Arial" w:cs="Arial"/>
          <w:b/>
          <w:bCs/>
          <w:iCs/>
          <w:highlight w:val="cyan"/>
          <w:u w:val="single"/>
          <w:lang w:val="de-DE"/>
        </w:rPr>
      </w:pPr>
      <w:r w:rsidRPr="006C6BA9">
        <w:rPr>
          <w:rFonts w:ascii="Arial" w:hAnsi="Arial" w:cs="Arial"/>
          <w:b/>
          <w:bCs/>
          <w:iCs/>
          <w:highlight w:val="cyan"/>
          <w:u w:val="single"/>
          <w:lang w:val="de-DE"/>
        </w:rPr>
        <w:t xml:space="preserve">k bodu </w:t>
      </w:r>
      <w:r>
        <w:rPr>
          <w:rFonts w:ascii="Arial" w:hAnsi="Arial" w:cs="Arial"/>
          <w:b/>
          <w:bCs/>
          <w:iCs/>
          <w:highlight w:val="cyan"/>
          <w:u w:val="single"/>
          <w:lang w:val="de-DE"/>
        </w:rPr>
        <w:t>2</w:t>
      </w:r>
      <w:r w:rsidRPr="006C6BA9">
        <w:rPr>
          <w:rFonts w:ascii="Arial" w:hAnsi="Arial" w:cs="Arial"/>
          <w:b/>
          <w:bCs/>
          <w:iCs/>
          <w:highlight w:val="cyan"/>
          <w:u w:val="single"/>
          <w:lang w:val="de-DE"/>
        </w:rPr>
        <w:t>.1.</w:t>
      </w:r>
      <w:r>
        <w:rPr>
          <w:rFonts w:ascii="Arial" w:hAnsi="Arial" w:cs="Arial"/>
          <w:b/>
          <w:bCs/>
          <w:iCs/>
          <w:highlight w:val="cyan"/>
          <w:u w:val="single"/>
          <w:lang w:val="de-DE"/>
        </w:rPr>
        <w:t>2</w:t>
      </w:r>
      <w:r w:rsidRPr="006C6BA9">
        <w:rPr>
          <w:rFonts w:ascii="Arial" w:hAnsi="Arial" w:cs="Arial"/>
          <w:b/>
          <w:bCs/>
          <w:iCs/>
          <w:highlight w:val="cyan"/>
          <w:u w:val="single"/>
          <w:lang w:val="de-DE"/>
        </w:rPr>
        <w:t>.1.</w:t>
      </w:r>
      <w:r>
        <w:rPr>
          <w:rFonts w:ascii="Arial" w:hAnsi="Arial" w:cs="Arial"/>
          <w:b/>
          <w:bCs/>
          <w:iCs/>
          <w:highlight w:val="cyan"/>
          <w:u w:val="single"/>
          <w:lang w:val="de-DE"/>
        </w:rPr>
        <w:t xml:space="preserve"> (</w:t>
      </w:r>
      <w:r w:rsidRPr="006C6BA9">
        <w:rPr>
          <w:rFonts w:ascii="Arial" w:hAnsi="Arial" w:cs="Arial"/>
          <w:b/>
          <w:bCs/>
          <w:iCs/>
          <w:highlight w:val="cyan"/>
          <w:u w:val="single"/>
          <w:lang w:val="de-DE"/>
        </w:rPr>
        <w:t xml:space="preserve">k bodu </w:t>
      </w:r>
      <w:r>
        <w:rPr>
          <w:rFonts w:ascii="Arial" w:hAnsi="Arial" w:cs="Arial"/>
          <w:b/>
          <w:bCs/>
          <w:iCs/>
          <w:highlight w:val="cyan"/>
          <w:u w:val="single"/>
          <w:lang w:val="de-DE"/>
        </w:rPr>
        <w:t>2</w:t>
      </w:r>
      <w:r w:rsidRPr="006C6BA9">
        <w:rPr>
          <w:rFonts w:ascii="Arial" w:hAnsi="Arial" w:cs="Arial"/>
          <w:b/>
          <w:bCs/>
          <w:iCs/>
          <w:highlight w:val="cyan"/>
          <w:u w:val="single"/>
          <w:lang w:val="de-DE"/>
        </w:rPr>
        <w:t>.1.</w:t>
      </w:r>
      <w:r>
        <w:rPr>
          <w:rFonts w:ascii="Arial" w:hAnsi="Arial" w:cs="Arial"/>
          <w:b/>
          <w:bCs/>
          <w:iCs/>
          <w:highlight w:val="cyan"/>
          <w:u w:val="single"/>
          <w:lang w:val="de-DE"/>
        </w:rPr>
        <w:t>2</w:t>
      </w:r>
      <w:r w:rsidRPr="006C6BA9">
        <w:rPr>
          <w:rFonts w:ascii="Arial" w:hAnsi="Arial" w:cs="Arial"/>
          <w:b/>
          <w:bCs/>
          <w:iCs/>
          <w:highlight w:val="cyan"/>
          <w:u w:val="single"/>
          <w:lang w:val="de-DE"/>
        </w:rPr>
        <w:t>.</w:t>
      </w:r>
      <w:r>
        <w:rPr>
          <w:rFonts w:ascii="Arial" w:hAnsi="Arial" w:cs="Arial"/>
          <w:b/>
          <w:bCs/>
          <w:iCs/>
          <w:highlight w:val="cyan"/>
          <w:u w:val="single"/>
          <w:lang w:val="de-DE"/>
        </w:rPr>
        <w:t>1</w:t>
      </w:r>
      <w:r w:rsidRPr="006C6BA9">
        <w:rPr>
          <w:rFonts w:ascii="Arial" w:hAnsi="Arial" w:cs="Arial"/>
          <w:b/>
          <w:bCs/>
          <w:iCs/>
          <w:highlight w:val="cyan"/>
          <w:u w:val="single"/>
          <w:lang w:val="de-DE"/>
        </w:rPr>
        <w:t>.</w:t>
      </w:r>
      <w:r>
        <w:rPr>
          <w:rFonts w:ascii="Arial" w:hAnsi="Arial" w:cs="Arial"/>
          <w:b/>
          <w:bCs/>
          <w:iCs/>
          <w:highlight w:val="cyan"/>
          <w:u w:val="single"/>
          <w:lang w:val="de-DE"/>
        </w:rPr>
        <w:t>1. a 2.1.2.1.2.)</w:t>
      </w:r>
    </w:p>
    <w:p w:rsidR="00855261" w:rsidRPr="00CC28E9" w:rsidRDefault="00855261" w:rsidP="00855261">
      <w:pPr>
        <w:spacing w:before="120" w:after="120"/>
        <w:jc w:val="both"/>
        <w:rPr>
          <w:rFonts w:ascii="Arial" w:hAnsi="Arial" w:cs="Arial"/>
          <w:i/>
          <w:highlight w:val="cyan"/>
        </w:rPr>
      </w:pPr>
      <w:r w:rsidRPr="00CC28E9">
        <w:rPr>
          <w:rFonts w:ascii="Arial" w:hAnsi="Arial" w:cs="Arial"/>
          <w:i/>
          <w:highlight w:val="cyan"/>
        </w:rPr>
        <w:t xml:space="preserve">Souhlas se závěrem předkladatele, že i v tomto případě by mělo platit, že daňová uznatelnost účetních odpisů u nabyvatele je omezena zůstatkovou cenou ke dni vkladu u vkladatele, který vede daňovou evidenci. </w:t>
      </w:r>
    </w:p>
    <w:p w:rsidR="00855261" w:rsidRPr="00CC28E9" w:rsidRDefault="00855261" w:rsidP="00855261">
      <w:pPr>
        <w:spacing w:before="120" w:after="120"/>
        <w:jc w:val="both"/>
        <w:rPr>
          <w:rFonts w:ascii="Arial" w:hAnsi="Arial" w:cs="Arial"/>
          <w:i/>
          <w:color w:val="000000" w:themeColor="text1"/>
          <w:highlight w:val="cyan"/>
        </w:rPr>
      </w:pPr>
      <w:r w:rsidRPr="00CC28E9">
        <w:rPr>
          <w:rFonts w:ascii="Arial" w:hAnsi="Arial" w:cs="Arial"/>
          <w:i/>
          <w:color w:val="000000" w:themeColor="text1"/>
          <w:highlight w:val="cyan"/>
        </w:rPr>
        <w:t>Nesouhlas se závě</w:t>
      </w:r>
      <w:r>
        <w:rPr>
          <w:rFonts w:ascii="Arial" w:hAnsi="Arial" w:cs="Arial"/>
          <w:i/>
          <w:color w:val="000000" w:themeColor="text1"/>
          <w:highlight w:val="cyan"/>
        </w:rPr>
        <w:t>r</w:t>
      </w:r>
      <w:r w:rsidRPr="00CC28E9">
        <w:rPr>
          <w:rFonts w:ascii="Arial" w:hAnsi="Arial" w:cs="Arial"/>
          <w:i/>
          <w:color w:val="000000" w:themeColor="text1"/>
          <w:highlight w:val="cyan"/>
        </w:rPr>
        <w:t>em předkladatele, že pokud je převodcem fyzická osoba, která vede daňovou evidenci, bude u nabyvatele výše účetních odpisů z tohoto majetku jako daňově uznatelného nákladu limitována hodnotou majetku zachycenou v daňové evidenci vkladatele (fyzické osoby) nebo nebude limitována vůbec, vzhledem ke</w:t>
      </w:r>
      <w:r>
        <w:rPr>
          <w:rFonts w:ascii="Arial" w:hAnsi="Arial" w:cs="Arial"/>
          <w:i/>
          <w:color w:val="000000" w:themeColor="text1"/>
          <w:highlight w:val="cyan"/>
        </w:rPr>
        <w:t> </w:t>
      </w:r>
      <w:r w:rsidRPr="00CC28E9">
        <w:rPr>
          <w:rFonts w:ascii="Arial" w:hAnsi="Arial" w:cs="Arial"/>
          <w:i/>
          <w:color w:val="000000" w:themeColor="text1"/>
          <w:highlight w:val="cyan"/>
        </w:rPr>
        <w:t>skutečnosti, že limitující zůstatková cena majetku není v daňové evidenci k dispozici.</w:t>
      </w:r>
    </w:p>
    <w:p w:rsidR="00855261" w:rsidRPr="00D02C54" w:rsidRDefault="00855261" w:rsidP="00855261">
      <w:pPr>
        <w:spacing w:before="120" w:after="120"/>
        <w:jc w:val="both"/>
        <w:rPr>
          <w:rFonts w:ascii="Arial" w:hAnsi="Arial" w:cs="Arial"/>
          <w:i/>
          <w:color w:val="000000" w:themeColor="text1"/>
          <w:highlight w:val="cyan"/>
        </w:rPr>
      </w:pPr>
      <w:r>
        <w:rPr>
          <w:rFonts w:ascii="Arial" w:hAnsi="Arial" w:cs="Arial"/>
          <w:i/>
          <w:color w:val="000000" w:themeColor="text1"/>
          <w:highlight w:val="cyan"/>
        </w:rPr>
        <w:t xml:space="preserve">Ustanovení </w:t>
      </w:r>
      <w:r w:rsidRPr="00CC28E9">
        <w:rPr>
          <w:rFonts w:ascii="Arial" w:hAnsi="Arial" w:cs="Arial"/>
          <w:i/>
          <w:color w:val="000000" w:themeColor="text1"/>
          <w:highlight w:val="cyan"/>
        </w:rPr>
        <w:t xml:space="preserve">§ 24 odst. 2 písm. v) </w:t>
      </w:r>
      <w:proofErr w:type="gramStart"/>
      <w:r w:rsidRPr="00CC28E9">
        <w:rPr>
          <w:rFonts w:ascii="Arial" w:hAnsi="Arial" w:cs="Arial"/>
          <w:i/>
          <w:color w:val="000000" w:themeColor="text1"/>
          <w:highlight w:val="cyan"/>
        </w:rPr>
        <w:t>bod</w:t>
      </w:r>
      <w:proofErr w:type="gramEnd"/>
      <w:r w:rsidRPr="00CC28E9">
        <w:rPr>
          <w:rFonts w:ascii="Arial" w:hAnsi="Arial" w:cs="Arial"/>
          <w:i/>
          <w:color w:val="000000" w:themeColor="text1"/>
          <w:highlight w:val="cyan"/>
        </w:rPr>
        <w:t xml:space="preserve"> 1 ZDP limituje účetní odpisy výší zůstatkové ceny evidované u vkladatele, kdy u pojmu zůstatková cena je uveden odkaz na účetní předpisy, a to bez ohledu na to, zda vkladatel byl či nebyl účetní jednotkou. Z pohledu účetních předpisů má pak pojem zůstatková cena zcela jednoznačný obsah, neboť se jí rozumí „netto</w:t>
      </w:r>
      <w:proofErr w:type="gramStart"/>
      <w:r w:rsidRPr="00CC28E9">
        <w:rPr>
          <w:rFonts w:ascii="Arial" w:hAnsi="Arial" w:cs="Arial"/>
          <w:i/>
          <w:color w:val="000000" w:themeColor="text1"/>
          <w:highlight w:val="cyan"/>
        </w:rPr>
        <w:t>“ hodnota</w:t>
      </w:r>
      <w:proofErr w:type="gramEnd"/>
      <w:r w:rsidRPr="00CC28E9">
        <w:rPr>
          <w:rFonts w:ascii="Arial" w:hAnsi="Arial" w:cs="Arial"/>
          <w:i/>
          <w:color w:val="000000" w:themeColor="text1"/>
          <w:highlight w:val="cyan"/>
        </w:rPr>
        <w:t xml:space="preserve"> aktiva vykázaná v rozvaze či přehledu o majetku a závazcích. </w:t>
      </w:r>
      <w:r w:rsidRPr="00D02C54">
        <w:rPr>
          <w:rFonts w:ascii="Arial" w:hAnsi="Arial" w:cs="Arial"/>
          <w:i/>
          <w:color w:val="000000" w:themeColor="text1"/>
          <w:highlight w:val="cyan"/>
        </w:rPr>
        <w:t xml:space="preserve">Pro fyzickou osobu, která vede daňovou evidenci, a vkládaný majetek uplatnila ve výdajích, je tak nutné zůstatkovou cenou rozumět pořizovací cenu sníženou o hodnotu majetku zahrnutou do výdajů. Tato koncepce odpovídá i smyslu limitace v § 24 odst. 2 písmn. v) </w:t>
      </w:r>
      <w:proofErr w:type="gramStart"/>
      <w:r w:rsidRPr="00D02C54">
        <w:rPr>
          <w:rFonts w:ascii="Arial" w:hAnsi="Arial" w:cs="Arial"/>
          <w:i/>
          <w:color w:val="000000" w:themeColor="text1"/>
          <w:highlight w:val="cyan"/>
        </w:rPr>
        <w:t>zákona</w:t>
      </w:r>
      <w:proofErr w:type="gramEnd"/>
      <w:r w:rsidRPr="00D02C54">
        <w:rPr>
          <w:rFonts w:ascii="Arial" w:hAnsi="Arial" w:cs="Arial"/>
          <w:i/>
          <w:color w:val="000000" w:themeColor="text1"/>
          <w:highlight w:val="cyan"/>
        </w:rPr>
        <w:t xml:space="preserve"> o dních z příjmů, tj. </w:t>
      </w:r>
      <w:proofErr w:type="gramStart"/>
      <w:r w:rsidRPr="00D02C54">
        <w:rPr>
          <w:rFonts w:ascii="Arial" w:hAnsi="Arial" w:cs="Arial"/>
          <w:i/>
          <w:color w:val="000000" w:themeColor="text1"/>
          <w:highlight w:val="cyan"/>
        </w:rPr>
        <w:t>omezit</w:t>
      </w:r>
      <w:proofErr w:type="gramEnd"/>
      <w:r w:rsidRPr="00D02C54">
        <w:rPr>
          <w:rFonts w:ascii="Arial" w:hAnsi="Arial" w:cs="Arial"/>
          <w:i/>
          <w:color w:val="000000" w:themeColor="text1"/>
          <w:highlight w:val="cyan"/>
        </w:rPr>
        <w:t xml:space="preserve"> opětovné uplatnění výdaje z vloženého majetku.</w:t>
      </w:r>
    </w:p>
    <w:p w:rsidR="00855261" w:rsidRPr="00CC28E9" w:rsidRDefault="00855261" w:rsidP="00855261">
      <w:pPr>
        <w:spacing w:before="120" w:after="120"/>
        <w:jc w:val="both"/>
        <w:rPr>
          <w:rFonts w:ascii="Arial" w:hAnsi="Arial" w:cs="Arial"/>
          <w:i/>
          <w:color w:val="000000" w:themeColor="text1"/>
          <w:highlight w:val="cyan"/>
        </w:rPr>
      </w:pPr>
      <w:r w:rsidRPr="00CC28E9">
        <w:rPr>
          <w:rFonts w:ascii="Arial" w:hAnsi="Arial" w:cs="Arial"/>
          <w:i/>
          <w:color w:val="000000" w:themeColor="text1"/>
          <w:highlight w:val="cyan"/>
        </w:rPr>
        <w:t xml:space="preserve">Pokud fyzická osoba tento majetek s nulovou zůstatkovou cenou vloží do obchodní korporace, pak jeho nabyvatel nemůže účetní odpisy z tohoto majetku uplatňovat jako daňově uznatelný výdaj, neboť není naplněna podmínka § 24 odst. 2 písm. v) </w:t>
      </w:r>
      <w:proofErr w:type="gramStart"/>
      <w:r w:rsidRPr="00CC28E9">
        <w:rPr>
          <w:rFonts w:ascii="Arial" w:hAnsi="Arial" w:cs="Arial"/>
          <w:i/>
          <w:color w:val="000000" w:themeColor="text1"/>
          <w:highlight w:val="cyan"/>
        </w:rPr>
        <w:t>bodu</w:t>
      </w:r>
      <w:proofErr w:type="gramEnd"/>
      <w:r w:rsidRPr="00CC28E9">
        <w:rPr>
          <w:rFonts w:ascii="Arial" w:hAnsi="Arial" w:cs="Arial"/>
          <w:i/>
          <w:color w:val="000000" w:themeColor="text1"/>
          <w:highlight w:val="cyan"/>
        </w:rPr>
        <w:t xml:space="preserve"> 1 pro uplatnění účetních odpisů, a to do výše zůstatkové ceny u vkladatele ke dni vkladu.</w:t>
      </w:r>
    </w:p>
    <w:p w:rsidR="00855261" w:rsidRPr="00CC28E9" w:rsidRDefault="00855261" w:rsidP="00855261">
      <w:pPr>
        <w:spacing w:before="240" w:after="120"/>
        <w:jc w:val="both"/>
        <w:rPr>
          <w:rFonts w:ascii="Arial" w:hAnsi="Arial" w:cs="Arial"/>
          <w:b/>
          <w:bCs/>
          <w:iCs/>
          <w:color w:val="000000" w:themeColor="text1"/>
          <w:highlight w:val="cyan"/>
          <w:u w:val="single"/>
          <w:lang w:val="de-DE"/>
        </w:rPr>
      </w:pPr>
      <w:r w:rsidRPr="00CC28E9">
        <w:rPr>
          <w:rFonts w:ascii="Arial" w:hAnsi="Arial" w:cs="Arial"/>
          <w:b/>
          <w:bCs/>
          <w:iCs/>
          <w:color w:val="000000" w:themeColor="text1"/>
          <w:highlight w:val="cyan"/>
          <w:u w:val="single"/>
          <w:lang w:val="de-DE"/>
        </w:rPr>
        <w:t>k bodu 2.1.2.2.</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Nes</w:t>
      </w:r>
      <w:r w:rsidRPr="006C6BA9">
        <w:rPr>
          <w:rFonts w:ascii="Arial" w:hAnsi="Arial" w:cs="Arial"/>
          <w:i/>
          <w:highlight w:val="cyan"/>
        </w:rPr>
        <w:t xml:space="preserve">ouhlas se závěrem předkladatele. </w:t>
      </w:r>
    </w:p>
    <w:p w:rsidR="00855261" w:rsidRDefault="00855261" w:rsidP="00855261">
      <w:pPr>
        <w:jc w:val="both"/>
        <w:rPr>
          <w:rFonts w:ascii="Arial" w:hAnsi="Arial" w:cs="Arial"/>
          <w:i/>
        </w:rPr>
      </w:pPr>
      <w:r w:rsidRPr="00520388">
        <w:rPr>
          <w:rFonts w:ascii="Arial" w:hAnsi="Arial" w:cs="Arial"/>
          <w:i/>
          <w:highlight w:val="cyan"/>
        </w:rPr>
        <w:lastRenderedPageBreak/>
        <w:t>Ustanovení § 24 odst. v)</w:t>
      </w:r>
      <w:r>
        <w:rPr>
          <w:rFonts w:ascii="Arial" w:hAnsi="Arial" w:cs="Arial"/>
          <w:i/>
          <w:highlight w:val="cyan"/>
        </w:rPr>
        <w:t xml:space="preserve"> </w:t>
      </w:r>
      <w:proofErr w:type="gramStart"/>
      <w:r>
        <w:rPr>
          <w:rFonts w:ascii="Arial" w:hAnsi="Arial" w:cs="Arial"/>
          <w:i/>
          <w:highlight w:val="cyan"/>
        </w:rPr>
        <w:t>bod</w:t>
      </w:r>
      <w:proofErr w:type="gramEnd"/>
      <w:r>
        <w:rPr>
          <w:rFonts w:ascii="Arial" w:hAnsi="Arial" w:cs="Arial"/>
          <w:i/>
          <w:highlight w:val="cyan"/>
        </w:rPr>
        <w:t xml:space="preserve"> 1 </w:t>
      </w:r>
      <w:r w:rsidRPr="00520388">
        <w:rPr>
          <w:rFonts w:ascii="Arial" w:hAnsi="Arial" w:cs="Arial"/>
          <w:i/>
          <w:highlight w:val="cyan"/>
        </w:rPr>
        <w:t xml:space="preserve">ZDP limituje daňově uznatelný výdaj z hmotného majetku, který není hmotným majetkem dle ZDP, nabytého vkladem, tj. </w:t>
      </w:r>
      <w:proofErr w:type="gramStart"/>
      <w:r w:rsidRPr="00520388">
        <w:rPr>
          <w:rFonts w:ascii="Arial" w:hAnsi="Arial" w:cs="Arial"/>
          <w:i/>
          <w:highlight w:val="cyan"/>
        </w:rPr>
        <w:t>limituje</w:t>
      </w:r>
      <w:proofErr w:type="gramEnd"/>
      <w:r w:rsidRPr="00520388">
        <w:rPr>
          <w:rFonts w:ascii="Arial" w:hAnsi="Arial" w:cs="Arial"/>
          <w:i/>
          <w:highlight w:val="cyan"/>
        </w:rPr>
        <w:t xml:space="preserve"> účetní odpisy, které jsou ve smyslu § 21h ZDP u nabyvatele účetním nákladem (součástí výsledku hospodaření), a to výší zůstatkové ceny tohoto majetku evidované u</w:t>
      </w:r>
      <w:r>
        <w:rPr>
          <w:rFonts w:ascii="Arial" w:hAnsi="Arial" w:cs="Arial"/>
          <w:i/>
          <w:highlight w:val="cyan"/>
        </w:rPr>
        <w:t> </w:t>
      </w:r>
      <w:r w:rsidRPr="00520388">
        <w:rPr>
          <w:rFonts w:ascii="Arial" w:hAnsi="Arial" w:cs="Arial"/>
          <w:i/>
          <w:highlight w:val="cyan"/>
        </w:rPr>
        <w:t xml:space="preserve">vkladatele ke dni vkladu. Pokud je tedy u nabyvatele zůstatková cena vloženého majetku vyšší než zůstatková cena u vkladatele ke dni vkladu uplatní se limitace daňově uznatelných účetních odpisů uvedená v § 24 odst. 2 písm. v) </w:t>
      </w:r>
      <w:proofErr w:type="gramStart"/>
      <w:r>
        <w:rPr>
          <w:rFonts w:ascii="Arial" w:hAnsi="Arial" w:cs="Arial"/>
          <w:i/>
          <w:highlight w:val="cyan"/>
        </w:rPr>
        <w:t>bod</w:t>
      </w:r>
      <w:proofErr w:type="gramEnd"/>
      <w:r>
        <w:rPr>
          <w:rFonts w:ascii="Arial" w:hAnsi="Arial" w:cs="Arial"/>
          <w:i/>
          <w:highlight w:val="cyan"/>
        </w:rPr>
        <w:t xml:space="preserve"> 1 </w:t>
      </w:r>
      <w:r w:rsidRPr="00520388">
        <w:rPr>
          <w:rFonts w:ascii="Arial" w:hAnsi="Arial" w:cs="Arial"/>
          <w:i/>
          <w:highlight w:val="cyan"/>
        </w:rPr>
        <w:t>ZDP</w:t>
      </w:r>
      <w:r>
        <w:rPr>
          <w:rFonts w:ascii="Arial" w:hAnsi="Arial" w:cs="Arial"/>
          <w:i/>
          <w:highlight w:val="cyan"/>
        </w:rPr>
        <w:t>, a to až od okamžiku, kdy úhrn účetních odpisů převýší tuto zůstatkovou cenu</w:t>
      </w:r>
      <w:r w:rsidRPr="00520388">
        <w:rPr>
          <w:rFonts w:ascii="Arial" w:hAnsi="Arial" w:cs="Arial"/>
          <w:i/>
          <w:highlight w:val="cyan"/>
        </w:rPr>
        <w:t>. V situaci, kdy u vloženého majetku je u nabyvatele zůstatková cena nižší než zůstatková cena u vkladatele ke dni vkladu se ustanovení § 24 odst. 2 písm. v)</w:t>
      </w:r>
      <w:r>
        <w:rPr>
          <w:rFonts w:ascii="Arial" w:hAnsi="Arial" w:cs="Arial"/>
          <w:i/>
          <w:highlight w:val="cyan"/>
        </w:rPr>
        <w:t xml:space="preserve"> </w:t>
      </w:r>
      <w:proofErr w:type="gramStart"/>
      <w:r>
        <w:rPr>
          <w:rFonts w:ascii="Arial" w:hAnsi="Arial" w:cs="Arial"/>
          <w:i/>
          <w:highlight w:val="cyan"/>
        </w:rPr>
        <w:t>bod</w:t>
      </w:r>
      <w:proofErr w:type="gramEnd"/>
      <w:r>
        <w:rPr>
          <w:rFonts w:ascii="Arial" w:hAnsi="Arial" w:cs="Arial"/>
          <w:i/>
          <w:highlight w:val="cyan"/>
        </w:rPr>
        <w:t xml:space="preserve"> 1</w:t>
      </w:r>
      <w:r w:rsidRPr="00520388">
        <w:rPr>
          <w:rFonts w:ascii="Arial" w:hAnsi="Arial" w:cs="Arial"/>
          <w:i/>
          <w:highlight w:val="cyan"/>
        </w:rPr>
        <w:t xml:space="preserve"> neuplatní, neboť účetní odpisy z hmotného majetku, který není hmotným majetk</w:t>
      </w:r>
      <w:r>
        <w:rPr>
          <w:rFonts w:ascii="Arial" w:hAnsi="Arial" w:cs="Arial"/>
          <w:i/>
          <w:highlight w:val="cyan"/>
        </w:rPr>
        <w:t>e</w:t>
      </w:r>
      <w:r w:rsidRPr="00520388">
        <w:rPr>
          <w:rFonts w:ascii="Arial" w:hAnsi="Arial" w:cs="Arial"/>
          <w:i/>
          <w:highlight w:val="cyan"/>
        </w:rPr>
        <w:t xml:space="preserve">m dle ZDP nepřekračují zůstatkovou cenu u vkladatele. Ustanovení, </w:t>
      </w:r>
      <w:proofErr w:type="gramStart"/>
      <w:r w:rsidRPr="00520388">
        <w:rPr>
          <w:rFonts w:ascii="Arial" w:hAnsi="Arial" w:cs="Arial"/>
          <w:i/>
          <w:highlight w:val="cyan"/>
        </w:rPr>
        <w:t>na</w:t>
      </w:r>
      <w:proofErr w:type="gramEnd"/>
      <w:r w:rsidRPr="00520388">
        <w:rPr>
          <w:rFonts w:ascii="Arial" w:hAnsi="Arial" w:cs="Arial"/>
          <w:i/>
          <w:highlight w:val="cyan"/>
        </w:rPr>
        <w:t xml:space="preserve"> základě kterého by bylo možné o uvedený rozdíl v zůstatkových cenách snížit u nabyvatele základ daně, ZDP neobsahuje.</w:t>
      </w:r>
    </w:p>
    <w:p w:rsidR="00855261" w:rsidRDefault="00855261" w:rsidP="00855261">
      <w:pPr>
        <w:jc w:val="both"/>
        <w:rPr>
          <w:rFonts w:ascii="Arial" w:hAnsi="Arial" w:cs="Arial"/>
          <w:i/>
        </w:rPr>
      </w:pPr>
    </w:p>
    <w:p w:rsidR="00855261" w:rsidRPr="00E801CB" w:rsidRDefault="00855261" w:rsidP="00855261">
      <w:pPr>
        <w:spacing w:before="120" w:after="120"/>
        <w:jc w:val="both"/>
        <w:rPr>
          <w:rFonts w:ascii="Arial" w:hAnsi="Arial" w:cs="Arial"/>
          <w:b/>
          <w:bCs/>
          <w:iCs/>
          <w:highlight w:val="cyan"/>
          <w:lang w:val="de-DE"/>
        </w:rPr>
      </w:pPr>
      <w:r>
        <w:rPr>
          <w:rFonts w:ascii="Arial" w:hAnsi="Arial" w:cs="Arial"/>
          <w:b/>
          <w:bCs/>
          <w:iCs/>
          <w:highlight w:val="cyan"/>
          <w:lang w:val="de-DE"/>
        </w:rPr>
        <w:t xml:space="preserve">K dílčímu závěru č. </w:t>
      </w:r>
      <w:r w:rsidRPr="00E801CB">
        <w:rPr>
          <w:rFonts w:ascii="Arial" w:hAnsi="Arial" w:cs="Arial"/>
          <w:b/>
          <w:bCs/>
          <w:iCs/>
          <w:highlight w:val="cyan"/>
          <w:lang w:val="de-DE"/>
        </w:rPr>
        <w:t xml:space="preserve">2.1.3. </w:t>
      </w:r>
      <w:r w:rsidRPr="00E801CB">
        <w:rPr>
          <w:rFonts w:ascii="Arial" w:hAnsi="Arial" w:cs="Arial"/>
          <w:b/>
          <w:highlight w:val="cyan"/>
        </w:rPr>
        <w:t xml:space="preserve">(převodce je fyzická osoba, která neměla </w:t>
      </w:r>
      <w:r>
        <w:rPr>
          <w:rFonts w:ascii="Arial" w:hAnsi="Arial" w:cs="Arial"/>
          <w:b/>
          <w:highlight w:val="cyan"/>
        </w:rPr>
        <w:t>hmotný majetek, který není hmotným majetkem dle ZDP, zahrnutý</w:t>
      </w:r>
      <w:r w:rsidRPr="00E801CB">
        <w:rPr>
          <w:rFonts w:ascii="Arial" w:hAnsi="Arial" w:cs="Arial"/>
          <w:b/>
          <w:highlight w:val="cyan"/>
        </w:rPr>
        <w:t xml:space="preserve"> v obchodním majetku)</w:t>
      </w:r>
    </w:p>
    <w:p w:rsidR="00855261" w:rsidRDefault="00855261" w:rsidP="00855261">
      <w:pPr>
        <w:spacing w:before="120" w:after="120"/>
        <w:jc w:val="both"/>
        <w:rPr>
          <w:rFonts w:ascii="Arial" w:hAnsi="Arial" w:cs="Arial"/>
          <w:i/>
          <w:highlight w:val="cyan"/>
        </w:rPr>
      </w:pPr>
      <w:r>
        <w:rPr>
          <w:rFonts w:ascii="Arial" w:hAnsi="Arial" w:cs="Arial"/>
          <w:i/>
          <w:highlight w:val="cyan"/>
        </w:rPr>
        <w:t>S</w:t>
      </w:r>
      <w:r w:rsidRPr="006C6BA9">
        <w:rPr>
          <w:rFonts w:ascii="Arial" w:hAnsi="Arial" w:cs="Arial"/>
          <w:i/>
          <w:highlight w:val="cyan"/>
        </w:rPr>
        <w:t xml:space="preserve">ouhlas se závěrem předkladatele. </w:t>
      </w:r>
    </w:p>
    <w:p w:rsidR="00855261" w:rsidRPr="001F1ADD" w:rsidRDefault="00855261" w:rsidP="00855261">
      <w:pPr>
        <w:jc w:val="both"/>
        <w:rPr>
          <w:rFonts w:ascii="Arial" w:hAnsi="Arial" w:cs="Arial"/>
          <w:i/>
        </w:rPr>
      </w:pPr>
      <w:r w:rsidRPr="008E1E58">
        <w:rPr>
          <w:rFonts w:ascii="Arial" w:hAnsi="Arial" w:cs="Arial"/>
          <w:i/>
          <w:highlight w:val="cyan"/>
        </w:rPr>
        <w:t xml:space="preserve">V této souvislosti </w:t>
      </w:r>
      <w:r>
        <w:rPr>
          <w:rFonts w:ascii="Arial" w:hAnsi="Arial" w:cs="Arial"/>
          <w:i/>
          <w:highlight w:val="cyan"/>
        </w:rPr>
        <w:t xml:space="preserve">je nutné si uvědomit, </w:t>
      </w:r>
      <w:r w:rsidRPr="008E1E58">
        <w:rPr>
          <w:rFonts w:ascii="Arial" w:hAnsi="Arial" w:cs="Arial"/>
          <w:i/>
          <w:highlight w:val="cyan"/>
        </w:rPr>
        <w:t xml:space="preserve">že z § 4 odst. 4 ZDP vyplývá, že obchodním majetkem poplatníka </w:t>
      </w:r>
      <w:proofErr w:type="gramStart"/>
      <w:r w:rsidRPr="008E1E58">
        <w:rPr>
          <w:rFonts w:ascii="Arial" w:hAnsi="Arial" w:cs="Arial"/>
          <w:i/>
          <w:highlight w:val="cyan"/>
        </w:rPr>
        <w:t>daně</w:t>
      </w:r>
      <w:proofErr w:type="gramEnd"/>
      <w:r w:rsidRPr="008E1E58">
        <w:rPr>
          <w:rFonts w:ascii="Arial" w:hAnsi="Arial" w:cs="Arial"/>
          <w:i/>
          <w:highlight w:val="cyan"/>
        </w:rPr>
        <w:t xml:space="preserve"> z příjmů fyzických osob se pro účely daní z příjmů rozumí část majetku poplatníka, o které bylo nebo je účtováno anebo je nebo byla uvedena v</w:t>
      </w:r>
      <w:r>
        <w:rPr>
          <w:rFonts w:ascii="Arial" w:hAnsi="Arial" w:cs="Arial"/>
          <w:i/>
          <w:highlight w:val="cyan"/>
        </w:rPr>
        <w:t> </w:t>
      </w:r>
      <w:r w:rsidRPr="008E1E58">
        <w:rPr>
          <w:rFonts w:ascii="Arial" w:hAnsi="Arial" w:cs="Arial"/>
          <w:i/>
          <w:highlight w:val="cyan"/>
        </w:rPr>
        <w:t>daňové evidenci. Ohledně daňové evidence pak z § 7b odst. 1 ZDP vyplývá, že</w:t>
      </w:r>
      <w:r>
        <w:rPr>
          <w:rFonts w:ascii="Arial" w:hAnsi="Arial" w:cs="Arial"/>
          <w:i/>
          <w:highlight w:val="cyan"/>
        </w:rPr>
        <w:t> </w:t>
      </w:r>
      <w:r w:rsidRPr="008E1E58">
        <w:rPr>
          <w:rFonts w:ascii="Arial" w:hAnsi="Arial" w:cs="Arial"/>
          <w:i/>
          <w:highlight w:val="cyan"/>
        </w:rPr>
        <w:t xml:space="preserve">daňová evidence obsahuje údaje o příjmech a výdajích v zákonem stanoveném členění </w:t>
      </w:r>
      <w:proofErr w:type="gramStart"/>
      <w:r w:rsidRPr="008E1E58">
        <w:rPr>
          <w:rFonts w:ascii="Arial" w:hAnsi="Arial" w:cs="Arial"/>
          <w:i/>
          <w:highlight w:val="cyan"/>
        </w:rPr>
        <w:t>a</w:t>
      </w:r>
      <w:proofErr w:type="gramEnd"/>
      <w:r w:rsidRPr="008E1E58">
        <w:rPr>
          <w:rFonts w:ascii="Arial" w:hAnsi="Arial" w:cs="Arial"/>
          <w:i/>
          <w:highlight w:val="cyan"/>
        </w:rPr>
        <w:t xml:space="preserve"> údaje o majetku a dluzích. Pokud tedy poplatník pořízení majetku zaevidoval v daňových výdajích v daňové evidenci, stal se tento majetek součástí obchodního majetku poplatníka.</w:t>
      </w:r>
      <w:r w:rsidRPr="001F1ADD">
        <w:rPr>
          <w:rFonts w:ascii="Arial" w:hAnsi="Arial" w:cs="Arial"/>
          <w:i/>
        </w:rPr>
        <w:t xml:space="preserve"> </w:t>
      </w:r>
    </w:p>
    <w:p w:rsidR="00855261" w:rsidRDefault="00855261" w:rsidP="00855261">
      <w:pPr>
        <w:jc w:val="both"/>
        <w:rPr>
          <w:rFonts w:ascii="Arial" w:hAnsi="Arial" w:cs="Arial"/>
          <w:u w:val="single"/>
        </w:rPr>
      </w:pPr>
    </w:p>
    <w:p w:rsidR="00855261" w:rsidRPr="00584996" w:rsidRDefault="00855261" w:rsidP="00855261">
      <w:pPr>
        <w:jc w:val="both"/>
        <w:rPr>
          <w:rFonts w:ascii="Arial" w:hAnsi="Arial" w:cs="Arial"/>
          <w:u w:val="single"/>
        </w:rPr>
      </w:pPr>
      <w:r w:rsidRPr="00584996">
        <w:rPr>
          <w:rFonts w:ascii="Arial" w:hAnsi="Arial" w:cs="Arial"/>
          <w:u w:val="single"/>
        </w:rPr>
        <w:t>3. Nehmotný majetek</w:t>
      </w:r>
    </w:p>
    <w:p w:rsidR="00855261" w:rsidRDefault="00855261" w:rsidP="00855261">
      <w:pPr>
        <w:jc w:val="both"/>
        <w:rPr>
          <w:rFonts w:ascii="Arial" w:hAnsi="Arial" w:cs="Arial"/>
        </w:rPr>
      </w:pPr>
    </w:p>
    <w:p w:rsidR="00855261" w:rsidRDefault="00855261" w:rsidP="00855261">
      <w:pPr>
        <w:jc w:val="both"/>
        <w:rPr>
          <w:rFonts w:ascii="Arial" w:hAnsi="Arial" w:cs="Arial"/>
        </w:rPr>
      </w:pPr>
      <w:r w:rsidRPr="00D22594">
        <w:rPr>
          <w:rFonts w:ascii="Arial" w:hAnsi="Arial" w:cs="Arial"/>
        </w:rPr>
        <w:t>Úprava je v tomto případě obdobná jako v případě hmotného majetku</w:t>
      </w:r>
      <w:r>
        <w:rPr>
          <w:rFonts w:ascii="Arial" w:hAnsi="Arial" w:cs="Arial"/>
        </w:rPr>
        <w:t>, který není hmotným majetkem dle ZDP (viz. předchozí bod 2.)</w:t>
      </w:r>
      <w:r w:rsidRPr="00D22594">
        <w:rPr>
          <w:rFonts w:ascii="Arial" w:hAnsi="Arial" w:cs="Arial"/>
        </w:rPr>
        <w:t xml:space="preserve"> s tím, že daná restrikce je přísnější, kdy je jednak stanovena podmínka úplatného nabytí majetku převodcem</w:t>
      </w:r>
      <w:r>
        <w:rPr>
          <w:rFonts w:ascii="Arial" w:hAnsi="Arial" w:cs="Arial"/>
        </w:rPr>
        <w:t xml:space="preserve"> (dále vycházíme z tohoto, že tato podmínka je splněna)</w:t>
      </w:r>
      <w:r w:rsidRPr="00D22594">
        <w:rPr>
          <w:rFonts w:ascii="Arial" w:hAnsi="Arial" w:cs="Arial"/>
        </w:rPr>
        <w:t xml:space="preserve"> a dále je daná restrikce z jazykového hlediska vyjádřena tak, že pokud by se jednalo o vklad od fyzické osoby, která daný majetek neměla zahrnut v obchodním majetku, nebude možné žádné účetní odpisy uplatnit jako daňově uznatelný náklad. </w:t>
      </w:r>
    </w:p>
    <w:p w:rsidR="00855261" w:rsidRDefault="00855261" w:rsidP="00855261">
      <w:pPr>
        <w:jc w:val="both"/>
        <w:rPr>
          <w:rFonts w:ascii="Arial" w:hAnsi="Arial" w:cs="Arial"/>
        </w:rPr>
      </w:pPr>
    </w:p>
    <w:p w:rsidR="00855261" w:rsidRPr="00D22594" w:rsidRDefault="00855261" w:rsidP="00855261">
      <w:pPr>
        <w:jc w:val="both"/>
        <w:rPr>
          <w:rFonts w:ascii="Arial" w:hAnsi="Arial" w:cs="Arial"/>
        </w:rPr>
      </w:pPr>
      <w:r w:rsidRPr="00D22594">
        <w:rPr>
          <w:rFonts w:ascii="Arial" w:hAnsi="Arial" w:cs="Arial"/>
        </w:rPr>
        <w:t xml:space="preserve">Pro tyto případy je zde ještě speciální úprava pro daňové nerezidenty, kdy výše účetních odpisů je omezena výší úhrady, kterou musí prokázat vkladatel. </w:t>
      </w:r>
      <w:r>
        <w:rPr>
          <w:rFonts w:ascii="Arial" w:hAnsi="Arial" w:cs="Arial"/>
        </w:rPr>
        <w:t xml:space="preserve">Domníváme se, že jde o úhradu, za kterou daný nehmotný majetek nerezident nabyl. Tato omezení budou platit bez ohledu, zda jde o podnikatele či nepodnikatele, o účetní či neúčetní jednotku a není také relevantní, zda a jaké náklady z titulu vkládaného nehmotného majetku případně uplatňoval převodce v zahraničí. Pro účely přepočtu </w:t>
      </w:r>
      <w:proofErr w:type="gramStart"/>
      <w:r>
        <w:rPr>
          <w:rFonts w:ascii="Arial" w:hAnsi="Arial" w:cs="Arial"/>
        </w:rPr>
        <w:t>na</w:t>
      </w:r>
      <w:proofErr w:type="gramEnd"/>
      <w:r>
        <w:rPr>
          <w:rFonts w:ascii="Arial" w:hAnsi="Arial" w:cs="Arial"/>
        </w:rPr>
        <w:t xml:space="preserve"> koruny se použije kurz ČNB ke dni vyčlenění nebo vkladu.  </w:t>
      </w:r>
    </w:p>
    <w:p w:rsidR="00855261" w:rsidRDefault="00855261" w:rsidP="00855261">
      <w:pPr>
        <w:jc w:val="both"/>
        <w:rPr>
          <w:rFonts w:ascii="Arial" w:hAnsi="Arial" w:cs="Arial"/>
          <w:u w:val="single"/>
        </w:rPr>
      </w:pPr>
    </w:p>
    <w:p w:rsidR="00855261" w:rsidRPr="00584996" w:rsidRDefault="00855261" w:rsidP="00855261">
      <w:pPr>
        <w:jc w:val="both"/>
        <w:rPr>
          <w:rFonts w:ascii="Arial" w:hAnsi="Arial" w:cs="Arial"/>
          <w:u w:val="single"/>
        </w:rPr>
      </w:pPr>
      <w:r>
        <w:rPr>
          <w:rFonts w:ascii="Arial" w:hAnsi="Arial" w:cs="Arial"/>
          <w:u w:val="single"/>
        </w:rPr>
        <w:t xml:space="preserve">3.1. </w:t>
      </w:r>
      <w:r w:rsidRPr="00584996">
        <w:rPr>
          <w:rFonts w:ascii="Arial" w:hAnsi="Arial" w:cs="Arial"/>
          <w:u w:val="single"/>
        </w:rPr>
        <w:t>Závěry</w:t>
      </w:r>
    </w:p>
    <w:p w:rsidR="00855261" w:rsidRDefault="00855261" w:rsidP="00855261">
      <w:pPr>
        <w:jc w:val="both"/>
        <w:rPr>
          <w:rFonts w:ascii="Arial" w:hAnsi="Arial" w:cs="Arial"/>
          <w:u w:val="single"/>
        </w:rPr>
      </w:pPr>
    </w:p>
    <w:p w:rsidR="00855261" w:rsidRPr="00930E8D" w:rsidRDefault="00855261" w:rsidP="00855261">
      <w:pPr>
        <w:jc w:val="both"/>
        <w:rPr>
          <w:rFonts w:ascii="Arial" w:hAnsi="Arial" w:cs="Arial"/>
          <w:u w:val="single"/>
        </w:rPr>
      </w:pPr>
      <w:r>
        <w:rPr>
          <w:rFonts w:ascii="Arial" w:hAnsi="Arial" w:cs="Arial"/>
          <w:u w:val="single"/>
        </w:rPr>
        <w:t>3</w:t>
      </w:r>
      <w:r w:rsidRPr="00930E8D">
        <w:rPr>
          <w:rFonts w:ascii="Arial" w:hAnsi="Arial" w:cs="Arial"/>
          <w:u w:val="single"/>
        </w:rPr>
        <w:t xml:space="preserve">.1.1. </w:t>
      </w:r>
      <w:r>
        <w:rPr>
          <w:rFonts w:ascii="Arial" w:hAnsi="Arial" w:cs="Arial"/>
          <w:u w:val="single"/>
        </w:rPr>
        <w:t>Převodce je obchodní korporace</w:t>
      </w:r>
    </w:p>
    <w:p w:rsidR="00855261" w:rsidRDefault="00855261" w:rsidP="00855261">
      <w:pPr>
        <w:jc w:val="both"/>
        <w:rPr>
          <w:rFonts w:ascii="Arial" w:hAnsi="Arial" w:cs="Arial"/>
        </w:rPr>
      </w:pPr>
      <w:r>
        <w:rPr>
          <w:rFonts w:ascii="Arial" w:hAnsi="Arial" w:cs="Arial"/>
        </w:rPr>
        <w:t>V tomto případě platí závěry uvedené výše pod body pod body 2.1.</w:t>
      </w:r>
      <w:r w:rsidRPr="00D22594">
        <w:rPr>
          <w:rFonts w:ascii="Arial" w:hAnsi="Arial" w:cs="Arial"/>
        </w:rPr>
        <w:t>1.</w:t>
      </w:r>
      <w:r>
        <w:rPr>
          <w:rFonts w:ascii="Arial" w:hAnsi="Arial" w:cs="Arial"/>
        </w:rPr>
        <w:t xml:space="preserve">1. </w:t>
      </w:r>
      <w:proofErr w:type="gramStart"/>
      <w:r>
        <w:rPr>
          <w:rFonts w:ascii="Arial" w:hAnsi="Arial" w:cs="Arial"/>
        </w:rPr>
        <w:t>až</w:t>
      </w:r>
      <w:proofErr w:type="gramEnd"/>
      <w:r>
        <w:rPr>
          <w:rFonts w:ascii="Arial" w:hAnsi="Arial" w:cs="Arial"/>
        </w:rPr>
        <w:t xml:space="preserve"> 2.1.</w:t>
      </w:r>
      <w:r w:rsidRPr="00D22594">
        <w:rPr>
          <w:rFonts w:ascii="Arial" w:hAnsi="Arial" w:cs="Arial"/>
        </w:rPr>
        <w:t>1.</w:t>
      </w:r>
      <w:r>
        <w:rPr>
          <w:rFonts w:ascii="Arial" w:hAnsi="Arial" w:cs="Arial"/>
        </w:rPr>
        <w:t>3.</w:t>
      </w:r>
    </w:p>
    <w:p w:rsidR="00855261" w:rsidRPr="00584996" w:rsidRDefault="00855261" w:rsidP="00855261">
      <w:pPr>
        <w:jc w:val="both"/>
        <w:rPr>
          <w:rFonts w:ascii="Arial" w:hAnsi="Arial" w:cs="Arial"/>
          <w:u w:val="single"/>
        </w:rPr>
      </w:pPr>
      <w:r>
        <w:rPr>
          <w:rFonts w:ascii="Arial" w:hAnsi="Arial" w:cs="Arial"/>
          <w:u w:val="single"/>
        </w:rPr>
        <w:lastRenderedPageBreak/>
        <w:t xml:space="preserve">3.1.2. </w:t>
      </w:r>
      <w:r w:rsidRPr="00584996">
        <w:rPr>
          <w:rFonts w:ascii="Arial" w:hAnsi="Arial" w:cs="Arial"/>
          <w:u w:val="single"/>
        </w:rPr>
        <w:t>Převodce</w:t>
      </w:r>
      <w:r>
        <w:rPr>
          <w:rFonts w:ascii="Arial" w:hAnsi="Arial" w:cs="Arial"/>
          <w:u w:val="single"/>
        </w:rPr>
        <w:t xml:space="preserve"> </w:t>
      </w:r>
      <w:r w:rsidRPr="00584996">
        <w:rPr>
          <w:rFonts w:ascii="Arial" w:hAnsi="Arial" w:cs="Arial"/>
          <w:u w:val="single"/>
        </w:rPr>
        <w:t>je fyzická osoba, která měla daný majetek evidován v obchodním majetku.</w:t>
      </w:r>
    </w:p>
    <w:p w:rsidR="00855261" w:rsidRDefault="00855261" w:rsidP="00855261">
      <w:pPr>
        <w:jc w:val="both"/>
        <w:rPr>
          <w:rFonts w:ascii="Arial" w:hAnsi="Arial" w:cs="Arial"/>
        </w:rPr>
      </w:pPr>
      <w:r>
        <w:rPr>
          <w:rFonts w:ascii="Arial" w:hAnsi="Arial" w:cs="Arial"/>
        </w:rPr>
        <w:t>V tomto případě platí závěry uvedené výše pod body pod body 2.1.2.1 a 2.1.2.2.</w:t>
      </w:r>
    </w:p>
    <w:p w:rsidR="00855261" w:rsidRDefault="00855261" w:rsidP="00855261">
      <w:pPr>
        <w:jc w:val="both"/>
        <w:rPr>
          <w:rFonts w:ascii="Arial" w:hAnsi="Arial" w:cs="Arial"/>
          <w:u w:val="single"/>
        </w:rPr>
      </w:pPr>
    </w:p>
    <w:p w:rsidR="00855261" w:rsidRPr="00584996" w:rsidRDefault="00855261" w:rsidP="00855261">
      <w:pPr>
        <w:jc w:val="both"/>
        <w:rPr>
          <w:rFonts w:ascii="Arial" w:hAnsi="Arial" w:cs="Arial"/>
          <w:u w:val="single"/>
        </w:rPr>
      </w:pPr>
      <w:r>
        <w:rPr>
          <w:rFonts w:ascii="Arial" w:hAnsi="Arial" w:cs="Arial"/>
          <w:u w:val="single"/>
        </w:rPr>
        <w:t>3</w:t>
      </w:r>
      <w:r w:rsidRPr="00584996">
        <w:rPr>
          <w:rFonts w:ascii="Arial" w:hAnsi="Arial" w:cs="Arial"/>
          <w:u w:val="single"/>
        </w:rPr>
        <w:t xml:space="preserve">.1.3. Převodce je fyzická osoba, která neměla daný majetek zahrnutý v obchodním majetku. </w:t>
      </w:r>
    </w:p>
    <w:p w:rsidR="00855261" w:rsidRDefault="00855261" w:rsidP="00855261">
      <w:pPr>
        <w:pStyle w:val="Textkomente"/>
        <w:rPr>
          <w:rFonts w:ascii="Arial" w:hAnsi="Arial" w:cs="Arial"/>
          <w:sz w:val="24"/>
          <w:szCs w:val="24"/>
        </w:rPr>
      </w:pPr>
    </w:p>
    <w:p w:rsidR="00855261" w:rsidRDefault="00855261" w:rsidP="00855261">
      <w:pPr>
        <w:pStyle w:val="Textkomente"/>
        <w:rPr>
          <w:rFonts w:ascii="Arial" w:hAnsi="Arial" w:cs="Arial"/>
          <w:sz w:val="24"/>
          <w:szCs w:val="24"/>
        </w:rPr>
      </w:pPr>
      <w:r>
        <w:rPr>
          <w:rFonts w:ascii="Arial" w:hAnsi="Arial" w:cs="Arial"/>
          <w:sz w:val="24"/>
          <w:szCs w:val="24"/>
        </w:rPr>
        <w:t xml:space="preserve">3.1.3.1.1. </w:t>
      </w:r>
      <w:r w:rsidRPr="00D22594">
        <w:rPr>
          <w:rFonts w:ascii="Arial" w:hAnsi="Arial" w:cs="Arial"/>
          <w:sz w:val="24"/>
          <w:szCs w:val="24"/>
        </w:rPr>
        <w:t>V tomto případě je textace</w:t>
      </w:r>
      <w:r>
        <w:rPr>
          <w:rFonts w:ascii="Arial" w:hAnsi="Arial" w:cs="Arial"/>
          <w:sz w:val="24"/>
          <w:szCs w:val="24"/>
        </w:rPr>
        <w:t xml:space="preserve"> § 24 odst. 2 písm. v) </w:t>
      </w:r>
      <w:proofErr w:type="gramStart"/>
      <w:r>
        <w:rPr>
          <w:rFonts w:ascii="Arial" w:hAnsi="Arial" w:cs="Arial"/>
          <w:sz w:val="24"/>
          <w:szCs w:val="24"/>
        </w:rPr>
        <w:t>bod</w:t>
      </w:r>
      <w:proofErr w:type="gramEnd"/>
      <w:r>
        <w:rPr>
          <w:rFonts w:ascii="Arial" w:hAnsi="Arial" w:cs="Arial"/>
          <w:sz w:val="24"/>
          <w:szCs w:val="24"/>
        </w:rPr>
        <w:t xml:space="preserve"> 2 ZDP</w:t>
      </w:r>
      <w:r w:rsidRPr="00D22594">
        <w:rPr>
          <w:rFonts w:ascii="Arial" w:hAnsi="Arial" w:cs="Arial"/>
          <w:sz w:val="24"/>
          <w:szCs w:val="24"/>
        </w:rPr>
        <w:t xml:space="preserve"> nastavena tak, že zřejmě žádné účetní odpisy jako daňový výdaj nebude možné uplatnit.</w:t>
      </w:r>
      <w:r>
        <w:rPr>
          <w:rFonts w:ascii="Arial" w:hAnsi="Arial" w:cs="Arial"/>
          <w:sz w:val="24"/>
          <w:szCs w:val="24"/>
        </w:rPr>
        <w:t xml:space="preserve"> </w:t>
      </w:r>
    </w:p>
    <w:p w:rsidR="00855261" w:rsidRPr="00C41891" w:rsidRDefault="00855261" w:rsidP="00855261">
      <w:pPr>
        <w:jc w:val="both"/>
        <w:rPr>
          <w:rFonts w:ascii="Arial" w:hAnsi="Arial" w:cs="Arial"/>
        </w:rPr>
      </w:pPr>
      <w:r w:rsidRPr="00B924DF">
        <w:rPr>
          <w:rFonts w:ascii="Arial" w:hAnsi="Arial" w:cs="Arial"/>
        </w:rPr>
        <w:t xml:space="preserve">3.1.3.1.2. V této souvislosti uvádíme, že </w:t>
      </w:r>
      <w:r w:rsidRPr="00C41891">
        <w:rPr>
          <w:rFonts w:ascii="Arial" w:hAnsi="Arial" w:cs="Arial"/>
        </w:rPr>
        <w:t xml:space="preserve">považujeme </w:t>
      </w:r>
      <w:proofErr w:type="gramStart"/>
      <w:r w:rsidRPr="00C41891">
        <w:rPr>
          <w:rFonts w:ascii="Arial" w:hAnsi="Arial" w:cs="Arial"/>
        </w:rPr>
        <w:t>tento  závěr</w:t>
      </w:r>
      <w:proofErr w:type="gramEnd"/>
      <w:r w:rsidRPr="00C41891">
        <w:rPr>
          <w:rFonts w:ascii="Arial" w:hAnsi="Arial" w:cs="Arial"/>
        </w:rPr>
        <w:t xml:space="preserve"> za restrikci, kterou zákonodárce nezamýšlel, a vyšla najevo až díky zrušení kategorie daňového NM </w:t>
      </w:r>
      <w:r>
        <w:rPr>
          <w:rFonts w:ascii="Arial" w:hAnsi="Arial" w:cs="Arial"/>
        </w:rPr>
        <w:t>–</w:t>
      </w:r>
      <w:r w:rsidRPr="00C41891">
        <w:rPr>
          <w:rFonts w:ascii="Arial" w:hAnsi="Arial" w:cs="Arial"/>
        </w:rPr>
        <w:t xml:space="preserve"> v</w:t>
      </w:r>
      <w:r>
        <w:rPr>
          <w:rFonts w:ascii="Arial" w:hAnsi="Arial" w:cs="Arial"/>
        </w:rPr>
        <w:t> </w:t>
      </w:r>
      <w:r w:rsidRPr="00C41891">
        <w:rPr>
          <w:rFonts w:ascii="Arial" w:hAnsi="Arial" w:cs="Arial"/>
        </w:rPr>
        <w:t>porovnání s</w:t>
      </w:r>
      <w:r>
        <w:rPr>
          <w:rFonts w:ascii="Arial" w:hAnsi="Arial" w:cs="Arial"/>
        </w:rPr>
        <w:t> </w:t>
      </w:r>
      <w:r w:rsidRPr="00C41891">
        <w:rPr>
          <w:rFonts w:ascii="Arial" w:hAnsi="Arial" w:cs="Arial"/>
        </w:rPr>
        <w:t>předchozí daňovou úpravou (uvedenou v</w:t>
      </w:r>
      <w:r>
        <w:rPr>
          <w:rFonts w:ascii="Arial" w:hAnsi="Arial" w:cs="Arial"/>
        </w:rPr>
        <w:t> </w:t>
      </w:r>
      <w:r w:rsidRPr="00C41891">
        <w:rPr>
          <w:rFonts w:ascii="Arial" w:hAnsi="Arial" w:cs="Arial"/>
        </w:rPr>
        <w:t>předchozím příspěvku). Neodůvodněně poškozuje poplatníky a byla by vhodná legislativní úprava při nejbližší novelizaci daňových předpisů.</w:t>
      </w:r>
    </w:p>
    <w:p w:rsidR="00855261" w:rsidRDefault="00855261" w:rsidP="00855261">
      <w:pPr>
        <w:jc w:val="both"/>
        <w:rPr>
          <w:rFonts w:ascii="Arial" w:hAnsi="Arial" w:cs="Arial"/>
        </w:rPr>
      </w:pPr>
    </w:p>
    <w:p w:rsidR="00855261" w:rsidRDefault="00855261" w:rsidP="00855261">
      <w:pPr>
        <w:jc w:val="both"/>
        <w:rPr>
          <w:rFonts w:ascii="Arial" w:hAnsi="Arial" w:cs="Arial"/>
          <w:u w:val="single"/>
        </w:rPr>
      </w:pPr>
      <w:r w:rsidRPr="003A2313">
        <w:rPr>
          <w:rFonts w:ascii="Arial" w:hAnsi="Arial" w:cs="Arial"/>
          <w:u w:val="single"/>
        </w:rPr>
        <w:t>3.1.4. Převodcem je daňový nerezident</w:t>
      </w:r>
    </w:p>
    <w:p w:rsidR="00855261" w:rsidRDefault="00855261" w:rsidP="00855261">
      <w:pPr>
        <w:jc w:val="both"/>
        <w:rPr>
          <w:rFonts w:ascii="Arial" w:hAnsi="Arial" w:cs="Arial"/>
        </w:rPr>
      </w:pPr>
    </w:p>
    <w:p w:rsidR="00855261" w:rsidRDefault="00855261" w:rsidP="00855261">
      <w:pPr>
        <w:jc w:val="both"/>
        <w:rPr>
          <w:rFonts w:ascii="Arial" w:hAnsi="Arial" w:cs="Arial"/>
        </w:rPr>
      </w:pPr>
      <w:r>
        <w:rPr>
          <w:rFonts w:ascii="Arial" w:hAnsi="Arial" w:cs="Arial"/>
        </w:rPr>
        <w:t>3.1.4.1. V</w:t>
      </w:r>
      <w:r w:rsidRPr="00D22594">
        <w:rPr>
          <w:rFonts w:ascii="Arial" w:hAnsi="Arial" w:cs="Arial"/>
        </w:rPr>
        <w:t>ýše účetních odpisů je omezena výší úhrady</w:t>
      </w:r>
      <w:r>
        <w:rPr>
          <w:rFonts w:ascii="Arial" w:hAnsi="Arial" w:cs="Arial"/>
        </w:rPr>
        <w:t>, za kterou daňový nerezident nehmotný majetek nabyl. Výši úhrady</w:t>
      </w:r>
      <w:r w:rsidRPr="00D22594">
        <w:rPr>
          <w:rFonts w:ascii="Arial" w:hAnsi="Arial" w:cs="Arial"/>
        </w:rPr>
        <w:t xml:space="preserve"> musí prokázat </w:t>
      </w:r>
      <w:r>
        <w:rPr>
          <w:rFonts w:ascii="Arial" w:hAnsi="Arial" w:cs="Arial"/>
        </w:rPr>
        <w:t>převodce.</w:t>
      </w:r>
    </w:p>
    <w:p w:rsidR="00855261" w:rsidRDefault="00855261" w:rsidP="00855261">
      <w:pPr>
        <w:jc w:val="both"/>
        <w:rPr>
          <w:rFonts w:ascii="Arial" w:hAnsi="Arial" w:cs="Arial"/>
        </w:rPr>
      </w:pPr>
      <w:r>
        <w:rPr>
          <w:rFonts w:ascii="Arial" w:hAnsi="Arial" w:cs="Arial"/>
        </w:rPr>
        <w:t>3.1.4.2. Výše úhrady prokázaná převodcem platí pro všechny případy, kdy je převodce daňový nerezident (podnikatel, nepodnikatel, účetní jednotka) a nijak se nemění i v případě, kdy daňový nerezident uplatňoval v zahraniční u daného vkladného nehmotného majetku nějaké daňově relevantní náklady.</w:t>
      </w:r>
    </w:p>
    <w:p w:rsidR="00855261" w:rsidRPr="00D22594" w:rsidRDefault="00855261" w:rsidP="00855261">
      <w:pPr>
        <w:jc w:val="both"/>
        <w:rPr>
          <w:rFonts w:ascii="Arial" w:hAnsi="Arial" w:cs="Arial"/>
        </w:rPr>
      </w:pPr>
      <w:r>
        <w:rPr>
          <w:rFonts w:ascii="Arial" w:hAnsi="Arial" w:cs="Arial"/>
        </w:rPr>
        <w:t xml:space="preserve">3.1.4.3. Pro účely přepočtu </w:t>
      </w:r>
      <w:proofErr w:type="gramStart"/>
      <w:r>
        <w:rPr>
          <w:rFonts w:ascii="Arial" w:hAnsi="Arial" w:cs="Arial"/>
        </w:rPr>
        <w:t>na</w:t>
      </w:r>
      <w:proofErr w:type="gramEnd"/>
      <w:r>
        <w:rPr>
          <w:rFonts w:ascii="Arial" w:hAnsi="Arial" w:cs="Arial"/>
        </w:rPr>
        <w:t xml:space="preserve"> koruny se použije kurz ČNB ke dni vyčlenění nebo vkladu.  </w:t>
      </w:r>
    </w:p>
    <w:p w:rsidR="00855261" w:rsidRDefault="00855261" w:rsidP="00855261">
      <w:pPr>
        <w:jc w:val="both"/>
        <w:rPr>
          <w:rFonts w:ascii="Arial" w:hAnsi="Arial" w:cs="Arial"/>
          <w:u w:val="single"/>
        </w:rPr>
      </w:pPr>
    </w:p>
    <w:p w:rsidR="00855261" w:rsidRDefault="00855261" w:rsidP="00855261">
      <w:pPr>
        <w:pStyle w:val="Odstavecseseznamem"/>
        <w:spacing w:after="0" w:line="240" w:lineRule="auto"/>
        <w:ind w:left="0"/>
        <w:jc w:val="both"/>
        <w:rPr>
          <w:rFonts w:ascii="Arial" w:hAnsi="Arial" w:cs="Arial"/>
          <w:b/>
          <w:sz w:val="24"/>
          <w:szCs w:val="24"/>
          <w:highlight w:val="cyan"/>
        </w:rPr>
      </w:pPr>
      <w:r w:rsidRPr="002E3AF3">
        <w:rPr>
          <w:rFonts w:ascii="Arial" w:hAnsi="Arial" w:cs="Arial"/>
          <w:b/>
          <w:bCs/>
          <w:sz w:val="24"/>
          <w:szCs w:val="24"/>
          <w:highlight w:val="cyan"/>
        </w:rPr>
        <w:t xml:space="preserve">K dílčímu závěru </w:t>
      </w:r>
      <w:r w:rsidRPr="002E3AF3">
        <w:rPr>
          <w:rFonts w:ascii="Arial" w:hAnsi="Arial" w:cs="Arial"/>
          <w:b/>
          <w:sz w:val="24"/>
          <w:szCs w:val="24"/>
          <w:highlight w:val="cyan"/>
        </w:rPr>
        <w:t>č</w:t>
      </w:r>
      <w:r w:rsidRPr="008362B6">
        <w:rPr>
          <w:rFonts w:ascii="Arial" w:hAnsi="Arial" w:cs="Arial"/>
          <w:b/>
          <w:sz w:val="24"/>
          <w:szCs w:val="24"/>
          <w:highlight w:val="cyan"/>
        </w:rPr>
        <w:t xml:space="preserve">. </w:t>
      </w:r>
      <w:r w:rsidRPr="008362B6">
        <w:rPr>
          <w:rFonts w:ascii="Arial" w:hAnsi="Arial" w:cs="Arial"/>
          <w:b/>
          <w:bCs/>
          <w:iCs/>
          <w:sz w:val="24"/>
          <w:szCs w:val="24"/>
          <w:highlight w:val="cyan"/>
          <w:lang w:val="de-DE"/>
        </w:rPr>
        <w:t>3.1.1.</w:t>
      </w:r>
      <w:r w:rsidRPr="002E3AF3">
        <w:rPr>
          <w:rFonts w:ascii="Arial" w:hAnsi="Arial" w:cs="Arial"/>
          <w:b/>
          <w:bCs/>
          <w:iCs/>
          <w:sz w:val="24"/>
          <w:szCs w:val="24"/>
          <w:highlight w:val="cyan"/>
          <w:lang w:val="de-DE"/>
        </w:rPr>
        <w:t xml:space="preserve"> (p</w:t>
      </w:r>
      <w:r w:rsidRPr="002E3AF3">
        <w:rPr>
          <w:rFonts w:ascii="Arial" w:hAnsi="Arial" w:cs="Arial"/>
          <w:b/>
          <w:sz w:val="24"/>
          <w:szCs w:val="24"/>
          <w:highlight w:val="cyan"/>
        </w:rPr>
        <w:t>řevodce je obchodní korporace)</w:t>
      </w:r>
    </w:p>
    <w:p w:rsidR="00855261" w:rsidRDefault="00855261" w:rsidP="00855261">
      <w:pPr>
        <w:spacing w:before="120" w:after="120"/>
        <w:jc w:val="both"/>
        <w:rPr>
          <w:rFonts w:ascii="Arial" w:hAnsi="Arial" w:cs="Arial"/>
          <w:i/>
          <w:highlight w:val="cyan"/>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že v tomto případě budou účetní odpisy z nehmotného majetku u nabyvatele daňově uznatelným výdajem pouze do výše zůstatkové ceny tohoto majetku prokázané u vkladatele ke dni jeho vkladu (viz § 24 odst. 2 písm. v) bod 2 ZDP).</w:t>
      </w:r>
      <w:r w:rsidRPr="006C6BA9">
        <w:rPr>
          <w:rFonts w:ascii="Arial" w:hAnsi="Arial" w:cs="Arial"/>
          <w:i/>
          <w:highlight w:val="cyan"/>
        </w:rPr>
        <w:t xml:space="preserve"> </w:t>
      </w:r>
    </w:p>
    <w:p w:rsidR="00855261" w:rsidRPr="00AF5996"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xml:space="preserve">, že při </w:t>
      </w:r>
      <w:r w:rsidRPr="00135680">
        <w:rPr>
          <w:rFonts w:ascii="Arial" w:hAnsi="Arial" w:cs="Arial"/>
          <w:i/>
          <w:highlight w:val="cyan"/>
        </w:rPr>
        <w:t xml:space="preserve">nabytí </w:t>
      </w:r>
      <w:r>
        <w:rPr>
          <w:rFonts w:ascii="Arial" w:hAnsi="Arial" w:cs="Arial"/>
          <w:i/>
          <w:highlight w:val="cyan"/>
        </w:rPr>
        <w:t>nehmotného</w:t>
      </w:r>
      <w:r w:rsidRPr="00135680">
        <w:rPr>
          <w:rFonts w:ascii="Arial" w:hAnsi="Arial" w:cs="Arial"/>
          <w:i/>
          <w:highlight w:val="cyan"/>
        </w:rPr>
        <w:t xml:space="preserve"> majetku</w:t>
      </w:r>
      <w:r>
        <w:rPr>
          <w:rFonts w:ascii="Arial" w:hAnsi="Arial" w:cs="Arial"/>
          <w:i/>
          <w:highlight w:val="cyan"/>
        </w:rPr>
        <w:t xml:space="preserve"> </w:t>
      </w:r>
      <w:proofErr w:type="gramStart"/>
      <w:r w:rsidRPr="00135680">
        <w:rPr>
          <w:rFonts w:ascii="Arial" w:hAnsi="Arial" w:cs="Arial"/>
          <w:i/>
          <w:highlight w:val="cyan"/>
        </w:rPr>
        <w:t>na</w:t>
      </w:r>
      <w:proofErr w:type="gramEnd"/>
      <w:r w:rsidRPr="00135680">
        <w:rPr>
          <w:rFonts w:ascii="Arial" w:hAnsi="Arial" w:cs="Arial"/>
          <w:i/>
          <w:highlight w:val="cyan"/>
        </w:rPr>
        <w:t xml:space="preserve"> základě opakovaného vkladu bude u nabyvatele </w:t>
      </w:r>
      <w:r>
        <w:rPr>
          <w:rFonts w:ascii="Arial" w:hAnsi="Arial" w:cs="Arial"/>
          <w:i/>
          <w:highlight w:val="cyan"/>
        </w:rPr>
        <w:t>účetní odpis dle § 24 odst. 2 písm. v) bodu 2 ZDP</w:t>
      </w:r>
      <w:r w:rsidRPr="00135680">
        <w:rPr>
          <w:rFonts w:ascii="Arial" w:hAnsi="Arial" w:cs="Arial"/>
          <w:i/>
          <w:highlight w:val="cyan"/>
        </w:rPr>
        <w:t xml:space="preserve"> </w:t>
      </w:r>
      <w:r>
        <w:rPr>
          <w:rFonts w:ascii="Arial" w:hAnsi="Arial" w:cs="Arial"/>
          <w:i/>
          <w:highlight w:val="cyan"/>
        </w:rPr>
        <w:t>daňovým výdajem jen do výše</w:t>
      </w:r>
      <w:r w:rsidRPr="00135680">
        <w:rPr>
          <w:rFonts w:ascii="Arial" w:hAnsi="Arial" w:cs="Arial"/>
          <w:i/>
          <w:highlight w:val="cyan"/>
        </w:rPr>
        <w:t xml:space="preserve"> </w:t>
      </w:r>
      <w:r>
        <w:rPr>
          <w:rFonts w:ascii="Arial" w:hAnsi="Arial" w:cs="Arial"/>
          <w:i/>
          <w:highlight w:val="cyan"/>
        </w:rPr>
        <w:t>zůstatkové ceny tohoto majetku u „předchozího“ vkladatele ke dni vkladu</w:t>
      </w:r>
      <w:r w:rsidRPr="00AF5996">
        <w:rPr>
          <w:rFonts w:ascii="Arial" w:hAnsi="Arial" w:cs="Arial"/>
          <w:i/>
          <w:highlight w:val="cyan"/>
        </w:rPr>
        <w:t>, a to i v případě, kdy byl tento majetek u vkladate</w:t>
      </w:r>
      <w:r>
        <w:rPr>
          <w:rFonts w:ascii="Arial" w:hAnsi="Arial" w:cs="Arial"/>
          <w:i/>
          <w:highlight w:val="cyan"/>
        </w:rPr>
        <w:t>l</w:t>
      </w:r>
      <w:r w:rsidRPr="00AF5996">
        <w:rPr>
          <w:rFonts w:ascii="Arial" w:hAnsi="Arial" w:cs="Arial"/>
          <w:i/>
          <w:highlight w:val="cyan"/>
        </w:rPr>
        <w:t>e rovněž nabyt vkladem.</w:t>
      </w:r>
    </w:p>
    <w:p w:rsidR="00855261" w:rsidRPr="006C6BA9" w:rsidRDefault="00855261" w:rsidP="00855261">
      <w:pPr>
        <w:spacing w:before="120" w:after="120"/>
        <w:jc w:val="both"/>
        <w:rPr>
          <w:rFonts w:ascii="Arial" w:hAnsi="Arial" w:cs="Arial"/>
          <w:b/>
          <w:bCs/>
          <w:iCs/>
          <w:highlight w:val="cyan"/>
          <w:u w:val="single"/>
          <w:lang w:val="de-DE"/>
        </w:rPr>
      </w:pPr>
      <w:r>
        <w:rPr>
          <w:rFonts w:ascii="Arial" w:hAnsi="Arial" w:cs="Arial"/>
          <w:i/>
          <w:highlight w:val="cyan"/>
        </w:rPr>
        <w:t>Nes</w:t>
      </w:r>
      <w:r w:rsidRPr="006C6BA9">
        <w:rPr>
          <w:rFonts w:ascii="Arial" w:hAnsi="Arial" w:cs="Arial"/>
          <w:i/>
          <w:highlight w:val="cyan"/>
        </w:rPr>
        <w:t>ouhlas se závěrem předkladatele</w:t>
      </w:r>
      <w:r>
        <w:rPr>
          <w:rFonts w:ascii="Arial" w:hAnsi="Arial" w:cs="Arial"/>
          <w:i/>
          <w:highlight w:val="cyan"/>
        </w:rPr>
        <w:t xml:space="preserve">, že v případě, že vkládaný nehmotný majetek bude přeceněn směrem dolů, bude rozdíl mezi zůstatkovou účetní cenou u převodce a nižším oceněním u nabyvatele položkou snižujícící základ </w:t>
      </w:r>
      <w:proofErr w:type="gramStart"/>
      <w:r>
        <w:rPr>
          <w:rFonts w:ascii="Arial" w:hAnsi="Arial" w:cs="Arial"/>
          <w:i/>
          <w:highlight w:val="cyan"/>
        </w:rPr>
        <w:t>daně</w:t>
      </w:r>
      <w:proofErr w:type="gramEnd"/>
      <w:r>
        <w:rPr>
          <w:rFonts w:ascii="Arial" w:hAnsi="Arial" w:cs="Arial"/>
          <w:i/>
          <w:highlight w:val="cyan"/>
        </w:rPr>
        <w:t>.</w:t>
      </w:r>
      <w:r w:rsidRPr="006C6BA9">
        <w:rPr>
          <w:rFonts w:ascii="Arial" w:hAnsi="Arial" w:cs="Arial"/>
          <w:i/>
          <w:highlight w:val="cyan"/>
        </w:rPr>
        <w:t xml:space="preserve"> </w:t>
      </w:r>
    </w:p>
    <w:p w:rsidR="00855261" w:rsidRDefault="00855261" w:rsidP="00855261">
      <w:pPr>
        <w:jc w:val="both"/>
        <w:rPr>
          <w:rFonts w:ascii="Arial" w:hAnsi="Arial" w:cs="Arial"/>
          <w:i/>
        </w:rPr>
      </w:pPr>
      <w:r w:rsidRPr="00520388">
        <w:rPr>
          <w:rFonts w:ascii="Arial" w:hAnsi="Arial" w:cs="Arial"/>
          <w:i/>
          <w:highlight w:val="cyan"/>
        </w:rPr>
        <w:t xml:space="preserve">Ustanovení § 24 odst. v) </w:t>
      </w:r>
      <w:proofErr w:type="gramStart"/>
      <w:r>
        <w:rPr>
          <w:rFonts w:ascii="Arial" w:hAnsi="Arial" w:cs="Arial"/>
          <w:i/>
          <w:highlight w:val="cyan"/>
        </w:rPr>
        <w:t>bod</w:t>
      </w:r>
      <w:proofErr w:type="gramEnd"/>
      <w:r>
        <w:rPr>
          <w:rFonts w:ascii="Arial" w:hAnsi="Arial" w:cs="Arial"/>
          <w:i/>
          <w:highlight w:val="cyan"/>
        </w:rPr>
        <w:t xml:space="preserve"> 2 </w:t>
      </w:r>
      <w:r w:rsidRPr="00520388">
        <w:rPr>
          <w:rFonts w:ascii="Arial" w:hAnsi="Arial" w:cs="Arial"/>
          <w:i/>
          <w:highlight w:val="cyan"/>
        </w:rPr>
        <w:t xml:space="preserve">ZDP limituje daňově uznatelný výdaj z </w:t>
      </w:r>
      <w:r>
        <w:rPr>
          <w:rFonts w:ascii="Arial" w:hAnsi="Arial" w:cs="Arial"/>
          <w:i/>
          <w:highlight w:val="cyan"/>
        </w:rPr>
        <w:t>ne</w:t>
      </w:r>
      <w:r w:rsidRPr="00520388">
        <w:rPr>
          <w:rFonts w:ascii="Arial" w:hAnsi="Arial" w:cs="Arial"/>
          <w:i/>
          <w:highlight w:val="cyan"/>
        </w:rPr>
        <w:t>hmotného</w:t>
      </w:r>
      <w:r>
        <w:rPr>
          <w:rFonts w:ascii="Arial" w:hAnsi="Arial" w:cs="Arial"/>
          <w:i/>
          <w:highlight w:val="cyan"/>
        </w:rPr>
        <w:t xml:space="preserve"> majetku </w:t>
      </w:r>
      <w:r w:rsidRPr="00520388">
        <w:rPr>
          <w:rFonts w:ascii="Arial" w:hAnsi="Arial" w:cs="Arial"/>
          <w:i/>
          <w:highlight w:val="cyan"/>
        </w:rPr>
        <w:t xml:space="preserve">nabytého vkladem, tj. </w:t>
      </w:r>
      <w:proofErr w:type="gramStart"/>
      <w:r w:rsidRPr="00520388">
        <w:rPr>
          <w:rFonts w:ascii="Arial" w:hAnsi="Arial" w:cs="Arial"/>
          <w:i/>
          <w:highlight w:val="cyan"/>
        </w:rPr>
        <w:t>limituje</w:t>
      </w:r>
      <w:proofErr w:type="gramEnd"/>
      <w:r w:rsidRPr="00520388">
        <w:rPr>
          <w:rFonts w:ascii="Arial" w:hAnsi="Arial" w:cs="Arial"/>
          <w:i/>
          <w:highlight w:val="cyan"/>
        </w:rPr>
        <w:t xml:space="preserve"> účetní odpisy, které jsou ve smyslu § 21h ZDP u nabyvatele účetním nákladem (součástí výsledku hospodaření), a to výší zůstatkové ceny tohoto majetku </w:t>
      </w:r>
      <w:r>
        <w:rPr>
          <w:rFonts w:ascii="Arial" w:hAnsi="Arial" w:cs="Arial"/>
          <w:i/>
          <w:highlight w:val="cyan"/>
        </w:rPr>
        <w:t>prokázané</w:t>
      </w:r>
      <w:r w:rsidRPr="00520388">
        <w:rPr>
          <w:rFonts w:ascii="Arial" w:hAnsi="Arial" w:cs="Arial"/>
          <w:i/>
          <w:highlight w:val="cyan"/>
        </w:rPr>
        <w:t xml:space="preserve"> u vkladatele ke dni </w:t>
      </w:r>
      <w:r>
        <w:rPr>
          <w:rFonts w:ascii="Arial" w:hAnsi="Arial" w:cs="Arial"/>
          <w:i/>
          <w:highlight w:val="cyan"/>
        </w:rPr>
        <w:t xml:space="preserve">jeho </w:t>
      </w:r>
      <w:r w:rsidRPr="00520388">
        <w:rPr>
          <w:rFonts w:ascii="Arial" w:hAnsi="Arial" w:cs="Arial"/>
          <w:i/>
          <w:highlight w:val="cyan"/>
        </w:rPr>
        <w:t>vkladu. Pokud je tedy u</w:t>
      </w:r>
      <w:r>
        <w:rPr>
          <w:rFonts w:ascii="Arial" w:hAnsi="Arial" w:cs="Arial"/>
          <w:i/>
          <w:highlight w:val="cyan"/>
        </w:rPr>
        <w:t> </w:t>
      </w:r>
      <w:r w:rsidRPr="00520388">
        <w:rPr>
          <w:rFonts w:ascii="Arial" w:hAnsi="Arial" w:cs="Arial"/>
          <w:i/>
          <w:highlight w:val="cyan"/>
        </w:rPr>
        <w:t>nabyvatele zůstatková cena vloženého majetku vyšší než zůstatková cena u</w:t>
      </w:r>
      <w:r>
        <w:rPr>
          <w:rFonts w:ascii="Arial" w:hAnsi="Arial" w:cs="Arial"/>
          <w:i/>
          <w:highlight w:val="cyan"/>
        </w:rPr>
        <w:t> </w:t>
      </w:r>
      <w:r w:rsidRPr="00520388">
        <w:rPr>
          <w:rFonts w:ascii="Arial" w:hAnsi="Arial" w:cs="Arial"/>
          <w:i/>
          <w:highlight w:val="cyan"/>
        </w:rPr>
        <w:t>vkladatele ke dni vkladu uplatní se limitace daňově uznatelných účetních odpisů</w:t>
      </w:r>
      <w:r>
        <w:rPr>
          <w:rFonts w:ascii="Arial" w:hAnsi="Arial" w:cs="Arial"/>
          <w:i/>
          <w:highlight w:val="cyan"/>
        </w:rPr>
        <w:t xml:space="preserve"> </w:t>
      </w:r>
      <w:r w:rsidRPr="00520388">
        <w:rPr>
          <w:rFonts w:ascii="Arial" w:hAnsi="Arial" w:cs="Arial"/>
          <w:i/>
          <w:highlight w:val="cyan"/>
        </w:rPr>
        <w:t xml:space="preserve">uvedená v § 24 odst. 2 písm. v) </w:t>
      </w:r>
      <w:proofErr w:type="gramStart"/>
      <w:r>
        <w:rPr>
          <w:rFonts w:ascii="Arial" w:hAnsi="Arial" w:cs="Arial"/>
          <w:i/>
          <w:highlight w:val="cyan"/>
        </w:rPr>
        <w:t>bod</w:t>
      </w:r>
      <w:proofErr w:type="gramEnd"/>
      <w:r>
        <w:rPr>
          <w:rFonts w:ascii="Arial" w:hAnsi="Arial" w:cs="Arial"/>
          <w:i/>
          <w:highlight w:val="cyan"/>
        </w:rPr>
        <w:t xml:space="preserve"> 2 </w:t>
      </w:r>
      <w:r w:rsidRPr="00520388">
        <w:rPr>
          <w:rFonts w:ascii="Arial" w:hAnsi="Arial" w:cs="Arial"/>
          <w:i/>
          <w:highlight w:val="cyan"/>
        </w:rPr>
        <w:t xml:space="preserve">ZDP. V situaci, kdy u vloženého </w:t>
      </w:r>
      <w:r>
        <w:rPr>
          <w:rFonts w:ascii="Arial" w:hAnsi="Arial" w:cs="Arial"/>
          <w:i/>
          <w:highlight w:val="cyan"/>
        </w:rPr>
        <w:t xml:space="preserve">nehmotného </w:t>
      </w:r>
      <w:r w:rsidRPr="00520388">
        <w:rPr>
          <w:rFonts w:ascii="Arial" w:hAnsi="Arial" w:cs="Arial"/>
          <w:i/>
          <w:highlight w:val="cyan"/>
        </w:rPr>
        <w:t xml:space="preserve">majetku je u nabyvatele zůstatková cena nižší než zůstatková cena u vkladatele ke dni </w:t>
      </w:r>
      <w:r w:rsidRPr="00520388">
        <w:rPr>
          <w:rFonts w:ascii="Arial" w:hAnsi="Arial" w:cs="Arial"/>
          <w:i/>
          <w:highlight w:val="cyan"/>
        </w:rPr>
        <w:lastRenderedPageBreak/>
        <w:t xml:space="preserve">vkladu se ustanovení § 24 odst. 2 písm. v) </w:t>
      </w:r>
      <w:proofErr w:type="gramStart"/>
      <w:r w:rsidRPr="00520388">
        <w:rPr>
          <w:rFonts w:ascii="Arial" w:hAnsi="Arial" w:cs="Arial"/>
          <w:i/>
          <w:highlight w:val="cyan"/>
        </w:rPr>
        <w:t>neuplatní</w:t>
      </w:r>
      <w:proofErr w:type="gramEnd"/>
      <w:r w:rsidRPr="00520388">
        <w:rPr>
          <w:rFonts w:ascii="Arial" w:hAnsi="Arial" w:cs="Arial"/>
          <w:i/>
          <w:highlight w:val="cyan"/>
        </w:rPr>
        <w:t>, neboť účetní odpisy z </w:t>
      </w:r>
      <w:r>
        <w:rPr>
          <w:rFonts w:ascii="Arial" w:hAnsi="Arial" w:cs="Arial"/>
          <w:i/>
          <w:highlight w:val="cyan"/>
        </w:rPr>
        <w:t>ne</w:t>
      </w:r>
      <w:r w:rsidRPr="00520388">
        <w:rPr>
          <w:rFonts w:ascii="Arial" w:hAnsi="Arial" w:cs="Arial"/>
          <w:i/>
          <w:highlight w:val="cyan"/>
        </w:rPr>
        <w:t xml:space="preserve">hmotného majetku nepřekračují zůstatkovou cenu u vkladatele. Ustanovení, </w:t>
      </w:r>
      <w:proofErr w:type="gramStart"/>
      <w:r w:rsidRPr="00520388">
        <w:rPr>
          <w:rFonts w:ascii="Arial" w:hAnsi="Arial" w:cs="Arial"/>
          <w:i/>
          <w:highlight w:val="cyan"/>
        </w:rPr>
        <w:t>na</w:t>
      </w:r>
      <w:proofErr w:type="gramEnd"/>
      <w:r w:rsidRPr="00520388">
        <w:rPr>
          <w:rFonts w:ascii="Arial" w:hAnsi="Arial" w:cs="Arial"/>
          <w:i/>
          <w:highlight w:val="cyan"/>
        </w:rPr>
        <w:t xml:space="preserve"> základě kterého by bylo možné o uvedený rozdíl v zůstatkových cenách snížit u</w:t>
      </w:r>
      <w:r>
        <w:rPr>
          <w:rFonts w:ascii="Arial" w:hAnsi="Arial" w:cs="Arial"/>
          <w:i/>
          <w:highlight w:val="cyan"/>
        </w:rPr>
        <w:t> </w:t>
      </w:r>
      <w:r w:rsidRPr="00520388">
        <w:rPr>
          <w:rFonts w:ascii="Arial" w:hAnsi="Arial" w:cs="Arial"/>
          <w:i/>
          <w:highlight w:val="cyan"/>
        </w:rPr>
        <w:t>nabyvatele základ daně, ZDP neobsahuje.</w:t>
      </w:r>
    </w:p>
    <w:p w:rsidR="00855261" w:rsidRDefault="00855261" w:rsidP="00855261">
      <w:pPr>
        <w:jc w:val="both"/>
        <w:rPr>
          <w:rFonts w:ascii="Arial" w:hAnsi="Arial" w:cs="Arial"/>
          <w:u w:val="single"/>
        </w:rPr>
      </w:pPr>
    </w:p>
    <w:p w:rsidR="00855261" w:rsidRPr="00E801CB" w:rsidRDefault="00855261" w:rsidP="00855261">
      <w:pPr>
        <w:pStyle w:val="Odstavecseseznamem"/>
        <w:spacing w:after="0" w:line="240" w:lineRule="auto"/>
        <w:ind w:left="0"/>
        <w:jc w:val="both"/>
        <w:rPr>
          <w:rFonts w:ascii="Arial" w:hAnsi="Arial" w:cs="Arial"/>
          <w:b/>
          <w:sz w:val="24"/>
          <w:szCs w:val="24"/>
          <w:highlight w:val="cyan"/>
        </w:rPr>
      </w:pPr>
      <w:r>
        <w:rPr>
          <w:rFonts w:ascii="Arial" w:hAnsi="Arial" w:cs="Arial"/>
          <w:b/>
          <w:bCs/>
          <w:sz w:val="24"/>
          <w:szCs w:val="24"/>
          <w:highlight w:val="cyan"/>
        </w:rPr>
        <w:t>K dílčímu závěru č. 3</w:t>
      </w:r>
      <w:r w:rsidRPr="00E801CB">
        <w:rPr>
          <w:rFonts w:ascii="Arial" w:hAnsi="Arial" w:cs="Arial"/>
          <w:b/>
          <w:sz w:val="24"/>
          <w:szCs w:val="24"/>
          <w:highlight w:val="cyan"/>
        </w:rPr>
        <w:t>.1.2. (</w:t>
      </w:r>
      <w:proofErr w:type="gramStart"/>
      <w:r w:rsidRPr="00E801CB">
        <w:rPr>
          <w:rFonts w:ascii="Arial" w:hAnsi="Arial" w:cs="Arial"/>
          <w:b/>
          <w:sz w:val="24"/>
          <w:szCs w:val="24"/>
          <w:highlight w:val="cyan"/>
        </w:rPr>
        <w:t>převodce</w:t>
      </w:r>
      <w:proofErr w:type="gramEnd"/>
      <w:r>
        <w:rPr>
          <w:rFonts w:ascii="Arial" w:hAnsi="Arial" w:cs="Arial"/>
          <w:b/>
          <w:sz w:val="24"/>
          <w:szCs w:val="24"/>
          <w:highlight w:val="cyan"/>
        </w:rPr>
        <w:t xml:space="preserve"> </w:t>
      </w:r>
      <w:r w:rsidRPr="00E801CB">
        <w:rPr>
          <w:rFonts w:ascii="Arial" w:hAnsi="Arial" w:cs="Arial"/>
          <w:b/>
          <w:sz w:val="24"/>
          <w:szCs w:val="24"/>
          <w:highlight w:val="cyan"/>
        </w:rPr>
        <w:t xml:space="preserve">je fyzická osoba, která měla </w:t>
      </w:r>
      <w:r>
        <w:rPr>
          <w:rFonts w:ascii="Arial" w:hAnsi="Arial" w:cs="Arial"/>
          <w:b/>
          <w:sz w:val="24"/>
          <w:szCs w:val="24"/>
          <w:highlight w:val="cyan"/>
        </w:rPr>
        <w:t>ne</w:t>
      </w:r>
      <w:r w:rsidRPr="00E801CB">
        <w:rPr>
          <w:rFonts w:ascii="Arial" w:hAnsi="Arial" w:cs="Arial"/>
          <w:b/>
          <w:sz w:val="24"/>
          <w:szCs w:val="24"/>
          <w:highlight w:val="cyan"/>
        </w:rPr>
        <w:t>hmotný majetek zahrnutý v obchodním majetku)</w:t>
      </w:r>
    </w:p>
    <w:p w:rsidR="00855261" w:rsidRPr="00E801CB" w:rsidRDefault="00855261" w:rsidP="00855261">
      <w:pPr>
        <w:jc w:val="both"/>
        <w:rPr>
          <w:rFonts w:ascii="Arial" w:hAnsi="Arial" w:cs="Arial"/>
          <w:b/>
          <w:bCs/>
          <w:iCs/>
        </w:rPr>
      </w:pPr>
    </w:p>
    <w:p w:rsidR="00855261" w:rsidRDefault="00855261" w:rsidP="00855261">
      <w:pPr>
        <w:spacing w:before="120" w:after="120"/>
        <w:jc w:val="both"/>
        <w:rPr>
          <w:rFonts w:ascii="Arial" w:hAnsi="Arial" w:cs="Arial"/>
          <w:i/>
          <w:highlight w:val="cyan"/>
        </w:rPr>
      </w:pPr>
      <w:r>
        <w:rPr>
          <w:rFonts w:ascii="Arial" w:hAnsi="Arial" w:cs="Arial"/>
          <w:i/>
          <w:highlight w:val="cyan"/>
        </w:rPr>
        <w:t>S</w:t>
      </w:r>
      <w:r w:rsidRPr="006C6BA9">
        <w:rPr>
          <w:rFonts w:ascii="Arial" w:hAnsi="Arial" w:cs="Arial"/>
          <w:i/>
          <w:highlight w:val="cyan"/>
        </w:rPr>
        <w:t>ouhlas se závěrem předkladatele</w:t>
      </w:r>
      <w:r>
        <w:rPr>
          <w:rFonts w:ascii="Arial" w:hAnsi="Arial" w:cs="Arial"/>
          <w:i/>
          <w:highlight w:val="cyan"/>
        </w:rPr>
        <w:t xml:space="preserve">, že i v tomto případě by mělo platit, že daňová uznatelnost účetních odpisů u nabyvatele je omezena zůstatkovou cenou ke dni vkladu u vkladatele, který vede daňovou evidenci. </w:t>
      </w:r>
    </w:p>
    <w:p w:rsidR="00855261" w:rsidRDefault="00855261" w:rsidP="00855261">
      <w:pPr>
        <w:spacing w:before="120" w:after="120"/>
        <w:jc w:val="both"/>
        <w:rPr>
          <w:rFonts w:ascii="Arial" w:hAnsi="Arial" w:cs="Arial"/>
          <w:i/>
          <w:highlight w:val="cyan"/>
        </w:rPr>
      </w:pPr>
      <w:r>
        <w:rPr>
          <w:rFonts w:ascii="Arial" w:hAnsi="Arial" w:cs="Arial"/>
          <w:i/>
          <w:highlight w:val="cyan"/>
        </w:rPr>
        <w:t>Nesouhlas se závětem předkladatele, že pokud je převodcem fyzická osoba, která vede daňovou evidenci, bude u nabyvatele výše účetních odpisů z tohoto majetku jako daňově uznatelného nákladu limitována hodnotou majetku zachycenou v daňové evidenci vkladatele (fyzické osoby) nebo nebude limitována vůbec, vzhledem ke skutečnosti, že limitující zůstatková cena majetku není v daňové evidenci k dispozici.</w:t>
      </w:r>
    </w:p>
    <w:p w:rsidR="00855261" w:rsidRPr="00D02C54" w:rsidRDefault="00855261" w:rsidP="00855261">
      <w:pPr>
        <w:spacing w:before="120" w:after="120"/>
        <w:jc w:val="both"/>
        <w:rPr>
          <w:rFonts w:ascii="Arial" w:hAnsi="Arial" w:cs="Arial"/>
          <w:i/>
          <w:color w:val="000000" w:themeColor="text1"/>
          <w:highlight w:val="cyan"/>
        </w:rPr>
      </w:pPr>
      <w:r>
        <w:rPr>
          <w:rFonts w:ascii="Arial" w:hAnsi="Arial" w:cs="Arial"/>
          <w:i/>
          <w:color w:val="000000" w:themeColor="text1"/>
          <w:highlight w:val="cyan"/>
        </w:rPr>
        <w:t xml:space="preserve">Ustanovení </w:t>
      </w:r>
      <w:r w:rsidRPr="00CC28E9">
        <w:rPr>
          <w:rFonts w:ascii="Arial" w:hAnsi="Arial" w:cs="Arial"/>
          <w:i/>
          <w:color w:val="000000" w:themeColor="text1"/>
          <w:highlight w:val="cyan"/>
        </w:rPr>
        <w:t xml:space="preserve">§ 24 odst. 2 písm. v) </w:t>
      </w:r>
      <w:proofErr w:type="gramStart"/>
      <w:r w:rsidRPr="00CC28E9">
        <w:rPr>
          <w:rFonts w:ascii="Arial" w:hAnsi="Arial" w:cs="Arial"/>
          <w:i/>
          <w:color w:val="000000" w:themeColor="text1"/>
          <w:highlight w:val="cyan"/>
        </w:rPr>
        <w:t>bod</w:t>
      </w:r>
      <w:proofErr w:type="gramEnd"/>
      <w:r w:rsidRPr="00CC28E9">
        <w:rPr>
          <w:rFonts w:ascii="Arial" w:hAnsi="Arial" w:cs="Arial"/>
          <w:i/>
          <w:color w:val="000000" w:themeColor="text1"/>
          <w:highlight w:val="cyan"/>
        </w:rPr>
        <w:t xml:space="preserve"> </w:t>
      </w:r>
      <w:r>
        <w:rPr>
          <w:rFonts w:ascii="Arial" w:hAnsi="Arial" w:cs="Arial"/>
          <w:i/>
          <w:color w:val="000000" w:themeColor="text1"/>
          <w:highlight w:val="cyan"/>
        </w:rPr>
        <w:t>2</w:t>
      </w:r>
      <w:r w:rsidRPr="00CC28E9">
        <w:rPr>
          <w:rFonts w:ascii="Arial" w:hAnsi="Arial" w:cs="Arial"/>
          <w:i/>
          <w:color w:val="000000" w:themeColor="text1"/>
          <w:highlight w:val="cyan"/>
        </w:rPr>
        <w:t xml:space="preserve"> ZDP limituje účetní odpisy </w:t>
      </w:r>
      <w:r>
        <w:rPr>
          <w:rFonts w:ascii="Arial" w:hAnsi="Arial" w:cs="Arial"/>
          <w:i/>
          <w:color w:val="000000" w:themeColor="text1"/>
          <w:highlight w:val="cyan"/>
        </w:rPr>
        <w:t xml:space="preserve">nehmotného majetku </w:t>
      </w:r>
      <w:r w:rsidRPr="00CC28E9">
        <w:rPr>
          <w:rFonts w:ascii="Arial" w:hAnsi="Arial" w:cs="Arial"/>
          <w:i/>
          <w:color w:val="000000" w:themeColor="text1"/>
          <w:highlight w:val="cyan"/>
        </w:rPr>
        <w:t>výší zůstatkové ceny evidované u vkladatele, kdy u pojmu zůstatková cena je uveden odkaz na účetní předpisy, a to bez ohledu na to, zda vkladatel byl či nebyl účetní jednotkou. Z pohledu účetních předpisů má pak pojem zůstatková cena zcela jednoznačný obsah, neboť se jí rozumí „netto</w:t>
      </w:r>
      <w:proofErr w:type="gramStart"/>
      <w:r w:rsidRPr="00CC28E9">
        <w:rPr>
          <w:rFonts w:ascii="Arial" w:hAnsi="Arial" w:cs="Arial"/>
          <w:i/>
          <w:color w:val="000000" w:themeColor="text1"/>
          <w:highlight w:val="cyan"/>
        </w:rPr>
        <w:t>“ hodnota</w:t>
      </w:r>
      <w:proofErr w:type="gramEnd"/>
      <w:r w:rsidRPr="00CC28E9">
        <w:rPr>
          <w:rFonts w:ascii="Arial" w:hAnsi="Arial" w:cs="Arial"/>
          <w:i/>
          <w:color w:val="000000" w:themeColor="text1"/>
          <w:highlight w:val="cyan"/>
        </w:rPr>
        <w:t xml:space="preserve"> aktiva vykázaná v rozvaze či</w:t>
      </w:r>
      <w:r>
        <w:rPr>
          <w:rFonts w:ascii="Arial" w:hAnsi="Arial" w:cs="Arial"/>
          <w:i/>
          <w:color w:val="000000" w:themeColor="text1"/>
          <w:highlight w:val="cyan"/>
        </w:rPr>
        <w:t> </w:t>
      </w:r>
      <w:r w:rsidRPr="00CC28E9">
        <w:rPr>
          <w:rFonts w:ascii="Arial" w:hAnsi="Arial" w:cs="Arial"/>
          <w:i/>
          <w:color w:val="000000" w:themeColor="text1"/>
          <w:highlight w:val="cyan"/>
        </w:rPr>
        <w:t xml:space="preserve">přehledu o majetku a </w:t>
      </w:r>
      <w:r w:rsidRPr="000B49D6">
        <w:rPr>
          <w:rFonts w:ascii="Arial" w:hAnsi="Arial" w:cs="Arial"/>
          <w:i/>
          <w:color w:val="000000" w:themeColor="text1"/>
          <w:highlight w:val="cyan"/>
        </w:rPr>
        <w:t>závazcích</w:t>
      </w:r>
      <w:r w:rsidRPr="00D02C54">
        <w:rPr>
          <w:rFonts w:ascii="Arial" w:hAnsi="Arial" w:cs="Arial"/>
          <w:i/>
          <w:color w:val="000000" w:themeColor="text1"/>
          <w:highlight w:val="cyan"/>
        </w:rPr>
        <w:t xml:space="preserve">. Pro fyzickou osobu, která vede daňovou evidenci, a vkládaný majetek uplatnila při jeho pořízení ve výdajích, je tak nutné zůstatkovou cenou rozumět pořizovací cenu sníženou o hodnotu majetku zahrnutou do výdajů. Tato koncepce odpovídá i smyslu limitace v § 24 odst. 2 písmn. v) </w:t>
      </w:r>
      <w:proofErr w:type="gramStart"/>
      <w:r w:rsidRPr="00D02C54">
        <w:rPr>
          <w:rFonts w:ascii="Arial" w:hAnsi="Arial" w:cs="Arial"/>
          <w:i/>
          <w:color w:val="000000" w:themeColor="text1"/>
          <w:highlight w:val="cyan"/>
        </w:rPr>
        <w:t>zákona</w:t>
      </w:r>
      <w:proofErr w:type="gramEnd"/>
      <w:r w:rsidRPr="00D02C54">
        <w:rPr>
          <w:rFonts w:ascii="Arial" w:hAnsi="Arial" w:cs="Arial"/>
          <w:i/>
          <w:color w:val="000000" w:themeColor="text1"/>
          <w:highlight w:val="cyan"/>
        </w:rPr>
        <w:t xml:space="preserve"> o daních z příjmů, tj. </w:t>
      </w:r>
      <w:proofErr w:type="gramStart"/>
      <w:r w:rsidRPr="00D02C54">
        <w:rPr>
          <w:rFonts w:ascii="Arial" w:hAnsi="Arial" w:cs="Arial"/>
          <w:i/>
          <w:color w:val="000000" w:themeColor="text1"/>
          <w:highlight w:val="cyan"/>
        </w:rPr>
        <w:t>omezit</w:t>
      </w:r>
      <w:proofErr w:type="gramEnd"/>
      <w:r w:rsidRPr="00D02C54">
        <w:rPr>
          <w:rFonts w:ascii="Arial" w:hAnsi="Arial" w:cs="Arial"/>
          <w:i/>
          <w:color w:val="000000" w:themeColor="text1"/>
          <w:highlight w:val="cyan"/>
        </w:rPr>
        <w:t xml:space="preserve"> opětovné uplatnění výdaje z vloženého majetku.</w:t>
      </w:r>
    </w:p>
    <w:p w:rsidR="00855261" w:rsidRDefault="00855261" w:rsidP="00855261">
      <w:pPr>
        <w:spacing w:before="120" w:after="120"/>
        <w:jc w:val="both"/>
        <w:rPr>
          <w:rFonts w:ascii="Arial" w:hAnsi="Arial" w:cs="Arial"/>
          <w:i/>
          <w:highlight w:val="cyan"/>
        </w:rPr>
      </w:pPr>
      <w:r w:rsidRPr="00CC28E9">
        <w:rPr>
          <w:rFonts w:ascii="Arial" w:hAnsi="Arial" w:cs="Arial"/>
          <w:i/>
          <w:color w:val="000000" w:themeColor="text1"/>
          <w:highlight w:val="cyan"/>
        </w:rPr>
        <w:t xml:space="preserve">Pokud fyzická osoba tento majetek s nulovou zůstatkovou cenou vloží do obchodní korporace, pak jeho nabyvatel nemůže účetní odpisy z tohoto majetku uplatňovat jako daňově uznatelný výdaj, neboť není naplněna podmínka § 24 odst. 2 písm. v) </w:t>
      </w:r>
      <w:proofErr w:type="gramStart"/>
      <w:r w:rsidRPr="00CC28E9">
        <w:rPr>
          <w:rFonts w:ascii="Arial" w:hAnsi="Arial" w:cs="Arial"/>
          <w:i/>
          <w:color w:val="000000" w:themeColor="text1"/>
          <w:highlight w:val="cyan"/>
        </w:rPr>
        <w:t>bodu</w:t>
      </w:r>
      <w:proofErr w:type="gramEnd"/>
      <w:r w:rsidRPr="00CC28E9">
        <w:rPr>
          <w:rFonts w:ascii="Arial" w:hAnsi="Arial" w:cs="Arial"/>
          <w:i/>
          <w:color w:val="000000" w:themeColor="text1"/>
          <w:highlight w:val="cyan"/>
        </w:rPr>
        <w:t xml:space="preserve"> </w:t>
      </w:r>
      <w:r>
        <w:rPr>
          <w:rFonts w:ascii="Arial" w:hAnsi="Arial" w:cs="Arial"/>
          <w:i/>
          <w:color w:val="000000" w:themeColor="text1"/>
          <w:highlight w:val="cyan"/>
        </w:rPr>
        <w:t>2</w:t>
      </w:r>
      <w:r w:rsidRPr="00CC28E9">
        <w:rPr>
          <w:rFonts w:ascii="Arial" w:hAnsi="Arial" w:cs="Arial"/>
          <w:i/>
          <w:color w:val="000000" w:themeColor="text1"/>
          <w:highlight w:val="cyan"/>
        </w:rPr>
        <w:t xml:space="preserve"> pro uplatnění účetních odpisů, a to do výše zůstatkové ceny u vkladatele ke dni</w:t>
      </w:r>
      <w:r>
        <w:rPr>
          <w:rFonts w:ascii="Arial" w:hAnsi="Arial" w:cs="Arial"/>
          <w:i/>
          <w:color w:val="000000" w:themeColor="text1"/>
          <w:highlight w:val="cyan"/>
        </w:rPr>
        <w:t xml:space="preserve"> vkladu</w:t>
      </w:r>
      <w:r w:rsidRPr="006C6BA9">
        <w:rPr>
          <w:rFonts w:ascii="Arial" w:hAnsi="Arial" w:cs="Arial"/>
          <w:i/>
          <w:highlight w:val="cyan"/>
        </w:rPr>
        <w:t>.</w:t>
      </w:r>
    </w:p>
    <w:p w:rsidR="00855261" w:rsidRPr="006C6BA9" w:rsidRDefault="00855261" w:rsidP="00855261">
      <w:pPr>
        <w:spacing w:before="120" w:after="120"/>
        <w:jc w:val="both"/>
        <w:rPr>
          <w:rFonts w:ascii="Arial" w:hAnsi="Arial" w:cs="Arial"/>
          <w:b/>
          <w:bCs/>
          <w:iCs/>
          <w:highlight w:val="cyan"/>
          <w:u w:val="single"/>
          <w:lang w:val="de-DE"/>
        </w:rPr>
      </w:pPr>
      <w:r w:rsidRPr="006C6BA9">
        <w:rPr>
          <w:rFonts w:ascii="Arial" w:hAnsi="Arial" w:cs="Arial"/>
          <w:i/>
          <w:highlight w:val="cyan"/>
        </w:rPr>
        <w:t xml:space="preserve"> </w:t>
      </w:r>
      <w:r>
        <w:rPr>
          <w:rFonts w:ascii="Arial" w:hAnsi="Arial" w:cs="Arial"/>
          <w:i/>
          <w:highlight w:val="cyan"/>
        </w:rPr>
        <w:t>Nes</w:t>
      </w:r>
      <w:r w:rsidRPr="006C6BA9">
        <w:rPr>
          <w:rFonts w:ascii="Arial" w:hAnsi="Arial" w:cs="Arial"/>
          <w:i/>
          <w:highlight w:val="cyan"/>
        </w:rPr>
        <w:t>ouhlas se závěrem předkladatele</w:t>
      </w:r>
      <w:r>
        <w:rPr>
          <w:rFonts w:ascii="Arial" w:hAnsi="Arial" w:cs="Arial"/>
          <w:i/>
          <w:highlight w:val="cyan"/>
        </w:rPr>
        <w:t xml:space="preserve">, že v případě, že vkládaný nehmotný majetek bude přeceněn směrem dolů, bude rozdíl mezi zůstatkovou účetní cenou u převodce a nižším oceněním u nabyvatele položkou snižujícící základ </w:t>
      </w:r>
      <w:proofErr w:type="gramStart"/>
      <w:r>
        <w:rPr>
          <w:rFonts w:ascii="Arial" w:hAnsi="Arial" w:cs="Arial"/>
          <w:i/>
          <w:highlight w:val="cyan"/>
        </w:rPr>
        <w:t>daně</w:t>
      </w:r>
      <w:proofErr w:type="gramEnd"/>
      <w:r>
        <w:rPr>
          <w:rFonts w:ascii="Arial" w:hAnsi="Arial" w:cs="Arial"/>
          <w:i/>
          <w:highlight w:val="cyan"/>
        </w:rPr>
        <w:t>.</w:t>
      </w:r>
      <w:r w:rsidRPr="006C6BA9">
        <w:rPr>
          <w:rFonts w:ascii="Arial" w:hAnsi="Arial" w:cs="Arial"/>
          <w:i/>
          <w:highlight w:val="cyan"/>
        </w:rPr>
        <w:t xml:space="preserve"> </w:t>
      </w:r>
    </w:p>
    <w:p w:rsidR="00855261" w:rsidRPr="000C7A36" w:rsidRDefault="00855261" w:rsidP="00855261">
      <w:pPr>
        <w:jc w:val="both"/>
        <w:rPr>
          <w:rFonts w:ascii="Arial" w:hAnsi="Arial" w:cs="Arial"/>
          <w:b/>
          <w:bCs/>
          <w:iCs/>
          <w:highlight w:val="lightGray"/>
          <w:u w:val="single"/>
          <w:lang w:val="de-DE"/>
        </w:rPr>
      </w:pPr>
      <w:r w:rsidRPr="00520388">
        <w:rPr>
          <w:rFonts w:ascii="Arial" w:hAnsi="Arial" w:cs="Arial"/>
          <w:i/>
          <w:highlight w:val="cyan"/>
        </w:rPr>
        <w:t xml:space="preserve">Ustanovení § 24 odst. v) </w:t>
      </w:r>
      <w:proofErr w:type="gramStart"/>
      <w:r>
        <w:rPr>
          <w:rFonts w:ascii="Arial" w:hAnsi="Arial" w:cs="Arial"/>
          <w:i/>
          <w:highlight w:val="cyan"/>
        </w:rPr>
        <w:t>bod</w:t>
      </w:r>
      <w:proofErr w:type="gramEnd"/>
      <w:r>
        <w:rPr>
          <w:rFonts w:ascii="Arial" w:hAnsi="Arial" w:cs="Arial"/>
          <w:i/>
          <w:highlight w:val="cyan"/>
        </w:rPr>
        <w:t xml:space="preserve"> 2 </w:t>
      </w:r>
      <w:r w:rsidRPr="00520388">
        <w:rPr>
          <w:rFonts w:ascii="Arial" w:hAnsi="Arial" w:cs="Arial"/>
          <w:i/>
          <w:highlight w:val="cyan"/>
        </w:rPr>
        <w:t xml:space="preserve">ZDP limituje daňově uznatelný výdaj z </w:t>
      </w:r>
      <w:r>
        <w:rPr>
          <w:rFonts w:ascii="Arial" w:hAnsi="Arial" w:cs="Arial"/>
          <w:i/>
          <w:highlight w:val="cyan"/>
        </w:rPr>
        <w:t>ne</w:t>
      </w:r>
      <w:r w:rsidRPr="00520388">
        <w:rPr>
          <w:rFonts w:ascii="Arial" w:hAnsi="Arial" w:cs="Arial"/>
          <w:i/>
          <w:highlight w:val="cyan"/>
        </w:rPr>
        <w:t>hmotného</w:t>
      </w:r>
      <w:r>
        <w:rPr>
          <w:rFonts w:ascii="Arial" w:hAnsi="Arial" w:cs="Arial"/>
          <w:i/>
          <w:highlight w:val="cyan"/>
        </w:rPr>
        <w:t xml:space="preserve"> majetku </w:t>
      </w:r>
      <w:r w:rsidRPr="00520388">
        <w:rPr>
          <w:rFonts w:ascii="Arial" w:hAnsi="Arial" w:cs="Arial"/>
          <w:i/>
          <w:highlight w:val="cyan"/>
        </w:rPr>
        <w:t xml:space="preserve">nabytého vkladem, tj. </w:t>
      </w:r>
      <w:proofErr w:type="gramStart"/>
      <w:r w:rsidRPr="00520388">
        <w:rPr>
          <w:rFonts w:ascii="Arial" w:hAnsi="Arial" w:cs="Arial"/>
          <w:i/>
          <w:highlight w:val="cyan"/>
        </w:rPr>
        <w:t>limituje</w:t>
      </w:r>
      <w:proofErr w:type="gramEnd"/>
      <w:r w:rsidRPr="00520388">
        <w:rPr>
          <w:rFonts w:ascii="Arial" w:hAnsi="Arial" w:cs="Arial"/>
          <w:i/>
          <w:highlight w:val="cyan"/>
        </w:rPr>
        <w:t xml:space="preserve"> účetní odpisy, které jsou ve smyslu § 21h ZDP u nabyvatele účetním nákladem (součástí výsledku hospodaření), a to výší zůstatkové ceny tohoto majetku </w:t>
      </w:r>
      <w:r>
        <w:rPr>
          <w:rFonts w:ascii="Arial" w:hAnsi="Arial" w:cs="Arial"/>
          <w:i/>
          <w:highlight w:val="cyan"/>
        </w:rPr>
        <w:t>prokázané</w:t>
      </w:r>
      <w:r w:rsidRPr="00520388">
        <w:rPr>
          <w:rFonts w:ascii="Arial" w:hAnsi="Arial" w:cs="Arial"/>
          <w:i/>
          <w:highlight w:val="cyan"/>
        </w:rPr>
        <w:t xml:space="preserve"> u vkladatele ke dni </w:t>
      </w:r>
      <w:r>
        <w:rPr>
          <w:rFonts w:ascii="Arial" w:hAnsi="Arial" w:cs="Arial"/>
          <w:i/>
          <w:highlight w:val="cyan"/>
        </w:rPr>
        <w:t xml:space="preserve">jeho </w:t>
      </w:r>
      <w:r w:rsidRPr="00520388">
        <w:rPr>
          <w:rFonts w:ascii="Arial" w:hAnsi="Arial" w:cs="Arial"/>
          <w:i/>
          <w:highlight w:val="cyan"/>
        </w:rPr>
        <w:t>vkladu. Pokud je tedy u</w:t>
      </w:r>
      <w:r>
        <w:rPr>
          <w:rFonts w:ascii="Arial" w:hAnsi="Arial" w:cs="Arial"/>
          <w:i/>
          <w:highlight w:val="cyan"/>
        </w:rPr>
        <w:t> </w:t>
      </w:r>
      <w:r w:rsidRPr="00520388">
        <w:rPr>
          <w:rFonts w:ascii="Arial" w:hAnsi="Arial" w:cs="Arial"/>
          <w:i/>
          <w:highlight w:val="cyan"/>
        </w:rPr>
        <w:t>nabyvatele zůstatková cena vloženého majetku vyšší než zůstatková cena u</w:t>
      </w:r>
      <w:r>
        <w:rPr>
          <w:rFonts w:ascii="Arial" w:hAnsi="Arial" w:cs="Arial"/>
          <w:i/>
          <w:highlight w:val="cyan"/>
        </w:rPr>
        <w:t> </w:t>
      </w:r>
      <w:r w:rsidRPr="00520388">
        <w:rPr>
          <w:rFonts w:ascii="Arial" w:hAnsi="Arial" w:cs="Arial"/>
          <w:i/>
          <w:highlight w:val="cyan"/>
        </w:rPr>
        <w:t>vkladatele ke dni vkladu uplatní se limitace daňově uznatelných účetních odpisů uvedená v § 24 odst. 2 písm. v)</w:t>
      </w:r>
      <w:r>
        <w:rPr>
          <w:rFonts w:ascii="Arial" w:hAnsi="Arial" w:cs="Arial"/>
          <w:i/>
          <w:highlight w:val="cyan"/>
        </w:rPr>
        <w:t xml:space="preserve"> </w:t>
      </w:r>
      <w:proofErr w:type="gramStart"/>
      <w:r>
        <w:rPr>
          <w:rFonts w:ascii="Arial" w:hAnsi="Arial" w:cs="Arial"/>
          <w:i/>
          <w:highlight w:val="cyan"/>
        </w:rPr>
        <w:t>bod</w:t>
      </w:r>
      <w:proofErr w:type="gramEnd"/>
      <w:r>
        <w:rPr>
          <w:rFonts w:ascii="Arial" w:hAnsi="Arial" w:cs="Arial"/>
          <w:i/>
          <w:highlight w:val="cyan"/>
        </w:rPr>
        <w:t xml:space="preserve"> 2 </w:t>
      </w:r>
      <w:r w:rsidRPr="00520388">
        <w:rPr>
          <w:rFonts w:ascii="Arial" w:hAnsi="Arial" w:cs="Arial"/>
          <w:i/>
          <w:highlight w:val="cyan"/>
        </w:rPr>
        <w:t>ZDP. V situaci, kdy u vloženého</w:t>
      </w:r>
      <w:r>
        <w:rPr>
          <w:rFonts w:ascii="Arial" w:hAnsi="Arial" w:cs="Arial"/>
          <w:i/>
          <w:highlight w:val="cyan"/>
        </w:rPr>
        <w:t xml:space="preserve"> nehmotného </w:t>
      </w:r>
      <w:r w:rsidRPr="00520388">
        <w:rPr>
          <w:rFonts w:ascii="Arial" w:hAnsi="Arial" w:cs="Arial"/>
          <w:i/>
          <w:highlight w:val="cyan"/>
        </w:rPr>
        <w:t xml:space="preserve">majetku je u nabyvatele zůstatková cena nižší než zůstatková cena u vkladatele ke dni vkladu se ustanovení § 24 odst. 2 písm. v) </w:t>
      </w:r>
      <w:proofErr w:type="gramStart"/>
      <w:r>
        <w:rPr>
          <w:rFonts w:ascii="Arial" w:hAnsi="Arial" w:cs="Arial"/>
          <w:i/>
          <w:highlight w:val="cyan"/>
        </w:rPr>
        <w:t>bod</w:t>
      </w:r>
      <w:proofErr w:type="gramEnd"/>
      <w:r>
        <w:rPr>
          <w:rFonts w:ascii="Arial" w:hAnsi="Arial" w:cs="Arial"/>
          <w:i/>
          <w:highlight w:val="cyan"/>
        </w:rPr>
        <w:t xml:space="preserve"> 2 </w:t>
      </w:r>
      <w:r w:rsidRPr="00520388">
        <w:rPr>
          <w:rFonts w:ascii="Arial" w:hAnsi="Arial" w:cs="Arial"/>
          <w:i/>
          <w:highlight w:val="cyan"/>
        </w:rPr>
        <w:t>neuplatní, neboť účetní odpisy z </w:t>
      </w:r>
      <w:r>
        <w:rPr>
          <w:rFonts w:ascii="Arial" w:hAnsi="Arial" w:cs="Arial"/>
          <w:i/>
          <w:highlight w:val="cyan"/>
        </w:rPr>
        <w:t xml:space="preserve">nehmotného majetku </w:t>
      </w:r>
      <w:r w:rsidRPr="00520388">
        <w:rPr>
          <w:rFonts w:ascii="Arial" w:hAnsi="Arial" w:cs="Arial"/>
          <w:i/>
          <w:highlight w:val="cyan"/>
        </w:rPr>
        <w:t xml:space="preserve">nepřekračují zůstatkovou cenu u vkladatele. Ustanovení, </w:t>
      </w:r>
      <w:proofErr w:type="gramStart"/>
      <w:r w:rsidRPr="00520388">
        <w:rPr>
          <w:rFonts w:ascii="Arial" w:hAnsi="Arial" w:cs="Arial"/>
          <w:i/>
          <w:highlight w:val="cyan"/>
        </w:rPr>
        <w:t xml:space="preserve">na </w:t>
      </w:r>
      <w:r>
        <w:rPr>
          <w:rFonts w:ascii="Arial" w:hAnsi="Arial" w:cs="Arial"/>
          <w:i/>
          <w:highlight w:val="cyan"/>
        </w:rPr>
        <w:t> z</w:t>
      </w:r>
      <w:r w:rsidRPr="00520388">
        <w:rPr>
          <w:rFonts w:ascii="Arial" w:hAnsi="Arial" w:cs="Arial"/>
          <w:i/>
          <w:highlight w:val="cyan"/>
        </w:rPr>
        <w:t>ákladě</w:t>
      </w:r>
      <w:proofErr w:type="gramEnd"/>
      <w:r w:rsidRPr="00520388">
        <w:rPr>
          <w:rFonts w:ascii="Arial" w:hAnsi="Arial" w:cs="Arial"/>
          <w:i/>
          <w:highlight w:val="cyan"/>
        </w:rPr>
        <w:t xml:space="preserve"> kterého by bylo možné o uvedený rozdíl v zůstatkových cenách snížit u</w:t>
      </w:r>
      <w:r>
        <w:rPr>
          <w:rFonts w:ascii="Arial" w:hAnsi="Arial" w:cs="Arial"/>
          <w:i/>
          <w:highlight w:val="cyan"/>
        </w:rPr>
        <w:t> </w:t>
      </w:r>
      <w:r w:rsidRPr="00520388">
        <w:rPr>
          <w:rFonts w:ascii="Arial" w:hAnsi="Arial" w:cs="Arial"/>
          <w:i/>
          <w:highlight w:val="cyan"/>
        </w:rPr>
        <w:t>nabyvatele základ daně, ZDP neobsahuje.</w:t>
      </w:r>
    </w:p>
    <w:p w:rsidR="00855261" w:rsidRDefault="00855261" w:rsidP="00855261">
      <w:pPr>
        <w:jc w:val="both"/>
        <w:rPr>
          <w:rFonts w:ascii="Arial" w:hAnsi="Arial" w:cs="Arial"/>
          <w:u w:val="single"/>
        </w:rPr>
      </w:pPr>
    </w:p>
    <w:p w:rsidR="00855261" w:rsidRDefault="00855261" w:rsidP="00855261">
      <w:pPr>
        <w:jc w:val="both"/>
        <w:rPr>
          <w:rFonts w:ascii="Arial" w:hAnsi="Arial" w:cs="Arial"/>
          <w:u w:val="single"/>
        </w:rPr>
      </w:pPr>
    </w:p>
    <w:p w:rsidR="00855261" w:rsidRPr="001F1ADD" w:rsidRDefault="00855261" w:rsidP="00855261">
      <w:pPr>
        <w:pStyle w:val="Odstavecseseznamem"/>
        <w:spacing w:after="0" w:line="240" w:lineRule="auto"/>
        <w:ind w:left="0"/>
        <w:jc w:val="both"/>
        <w:rPr>
          <w:rFonts w:ascii="Arial" w:hAnsi="Arial" w:cs="Arial"/>
          <w:i/>
          <w:sz w:val="24"/>
          <w:szCs w:val="24"/>
          <w:highlight w:val="cyan"/>
        </w:rPr>
      </w:pPr>
      <w:r>
        <w:rPr>
          <w:rFonts w:ascii="Arial" w:hAnsi="Arial" w:cs="Arial"/>
          <w:b/>
          <w:bCs/>
          <w:sz w:val="24"/>
          <w:szCs w:val="24"/>
          <w:highlight w:val="cyan"/>
          <w:u w:val="single"/>
        </w:rPr>
        <w:lastRenderedPageBreak/>
        <w:t xml:space="preserve">K dílčímu závěru č. </w:t>
      </w:r>
      <w:r w:rsidRPr="00A45A5D">
        <w:rPr>
          <w:rFonts w:ascii="Arial" w:hAnsi="Arial" w:cs="Arial"/>
          <w:b/>
          <w:sz w:val="24"/>
          <w:szCs w:val="24"/>
          <w:highlight w:val="cyan"/>
          <w:u w:val="single"/>
        </w:rPr>
        <w:t>3.1.</w:t>
      </w:r>
      <w:r>
        <w:rPr>
          <w:rFonts w:ascii="Arial" w:hAnsi="Arial" w:cs="Arial"/>
          <w:b/>
          <w:sz w:val="24"/>
          <w:szCs w:val="24"/>
          <w:highlight w:val="cyan"/>
          <w:u w:val="single"/>
        </w:rPr>
        <w:t>3</w:t>
      </w:r>
      <w:r w:rsidRPr="00A45A5D">
        <w:rPr>
          <w:rFonts w:ascii="Arial" w:hAnsi="Arial" w:cs="Arial"/>
          <w:b/>
          <w:sz w:val="24"/>
          <w:szCs w:val="24"/>
          <w:highlight w:val="cyan"/>
          <w:u w:val="single"/>
        </w:rPr>
        <w:t xml:space="preserve">. </w:t>
      </w:r>
      <w:r w:rsidRPr="00A45A5D">
        <w:rPr>
          <w:rFonts w:ascii="Arial" w:hAnsi="Arial" w:cs="Arial"/>
          <w:b/>
          <w:sz w:val="24"/>
          <w:szCs w:val="24"/>
          <w:highlight w:val="cyan"/>
        </w:rPr>
        <w:t>(</w:t>
      </w:r>
      <w:proofErr w:type="gramStart"/>
      <w:r w:rsidRPr="00A45A5D">
        <w:rPr>
          <w:rFonts w:ascii="Arial" w:hAnsi="Arial" w:cs="Arial"/>
          <w:b/>
          <w:sz w:val="24"/>
          <w:szCs w:val="24"/>
          <w:highlight w:val="cyan"/>
        </w:rPr>
        <w:t>převodce</w:t>
      </w:r>
      <w:proofErr w:type="gramEnd"/>
      <w:r w:rsidRPr="00A45A5D">
        <w:rPr>
          <w:rFonts w:ascii="Arial" w:hAnsi="Arial" w:cs="Arial"/>
          <w:b/>
          <w:sz w:val="24"/>
          <w:szCs w:val="24"/>
          <w:highlight w:val="cyan"/>
        </w:rPr>
        <w:t xml:space="preserve"> je fyzická osoba, která neměla </w:t>
      </w:r>
      <w:r>
        <w:rPr>
          <w:rFonts w:ascii="Arial" w:hAnsi="Arial" w:cs="Arial"/>
          <w:b/>
          <w:sz w:val="24"/>
          <w:szCs w:val="24"/>
          <w:highlight w:val="cyan"/>
        </w:rPr>
        <w:t xml:space="preserve">nehmotný </w:t>
      </w:r>
      <w:r w:rsidRPr="001F1ADD">
        <w:rPr>
          <w:rFonts w:ascii="Arial" w:hAnsi="Arial" w:cs="Arial"/>
          <w:i/>
          <w:sz w:val="24"/>
          <w:szCs w:val="24"/>
          <w:highlight w:val="cyan"/>
        </w:rPr>
        <w:t>majetek zahrnutý v obchodním majetku)</w:t>
      </w:r>
    </w:p>
    <w:p w:rsidR="00855261" w:rsidRDefault="00855261" w:rsidP="00855261">
      <w:pPr>
        <w:pStyle w:val="Odstavecseseznamem"/>
        <w:spacing w:after="0" w:line="240" w:lineRule="auto"/>
        <w:ind w:left="0"/>
        <w:jc w:val="both"/>
        <w:rPr>
          <w:rFonts w:ascii="Arial" w:hAnsi="Arial" w:cs="Arial"/>
          <w:b/>
          <w:sz w:val="24"/>
          <w:szCs w:val="24"/>
          <w:highlight w:val="cyan"/>
        </w:rPr>
      </w:pPr>
    </w:p>
    <w:p w:rsidR="00855261" w:rsidRDefault="00855261" w:rsidP="00855261">
      <w:pPr>
        <w:pStyle w:val="Odstavecseseznamem"/>
        <w:spacing w:after="0" w:line="240" w:lineRule="auto"/>
        <w:ind w:left="0"/>
        <w:jc w:val="both"/>
        <w:rPr>
          <w:rFonts w:ascii="Arial" w:hAnsi="Arial" w:cs="Arial"/>
          <w:b/>
          <w:sz w:val="24"/>
          <w:szCs w:val="24"/>
          <w:highlight w:val="cyan"/>
        </w:rPr>
      </w:pPr>
      <w:proofErr w:type="gramStart"/>
      <w:r>
        <w:rPr>
          <w:rFonts w:ascii="Arial" w:hAnsi="Arial" w:cs="Arial"/>
          <w:b/>
          <w:sz w:val="24"/>
          <w:szCs w:val="24"/>
          <w:highlight w:val="cyan"/>
        </w:rPr>
        <w:t>k</w:t>
      </w:r>
      <w:proofErr w:type="gramEnd"/>
      <w:r>
        <w:rPr>
          <w:rFonts w:ascii="Arial" w:hAnsi="Arial" w:cs="Arial"/>
          <w:b/>
          <w:sz w:val="24"/>
          <w:szCs w:val="24"/>
          <w:highlight w:val="cyan"/>
        </w:rPr>
        <w:t xml:space="preserve"> bodu 3.1.3.1.1.</w:t>
      </w:r>
    </w:p>
    <w:p w:rsidR="00855261" w:rsidRDefault="00855261" w:rsidP="00855261">
      <w:pPr>
        <w:pStyle w:val="Odstavecseseznamem"/>
        <w:spacing w:before="120" w:after="0" w:line="240" w:lineRule="auto"/>
        <w:ind w:left="0"/>
        <w:jc w:val="both"/>
        <w:rPr>
          <w:rFonts w:ascii="Arial" w:hAnsi="Arial" w:cs="Arial"/>
          <w:i/>
          <w:sz w:val="24"/>
          <w:szCs w:val="24"/>
          <w:highlight w:val="cyan"/>
        </w:rPr>
      </w:pPr>
      <w:r>
        <w:rPr>
          <w:rFonts w:ascii="Arial" w:hAnsi="Arial" w:cs="Arial"/>
          <w:i/>
          <w:sz w:val="24"/>
          <w:szCs w:val="24"/>
          <w:highlight w:val="cyan"/>
        </w:rPr>
        <w:t>Souhlas se závěrem předkladatele, že v případě, kdy vkladatelem nehmotného majetku je fyzická osoba, která neměla nehmotný majetek zahrnutý v obchodním majetku, nemůže nabyvatel účetní odpisy z tohoto majetku uplatnit jako daňově uznatelný výdaj (viz § 24 odst. 2 písm. v) bod 2 ZDP).</w:t>
      </w:r>
    </w:p>
    <w:p w:rsidR="00855261" w:rsidRDefault="00855261" w:rsidP="00855261">
      <w:pPr>
        <w:spacing w:before="240"/>
        <w:jc w:val="both"/>
        <w:rPr>
          <w:rFonts w:ascii="Arial" w:hAnsi="Arial" w:cs="Arial"/>
          <w:b/>
          <w:highlight w:val="cyan"/>
        </w:rPr>
      </w:pPr>
      <w:proofErr w:type="gramStart"/>
      <w:r>
        <w:rPr>
          <w:rFonts w:ascii="Arial" w:hAnsi="Arial" w:cs="Arial"/>
          <w:b/>
          <w:highlight w:val="cyan"/>
        </w:rPr>
        <w:t>k</w:t>
      </w:r>
      <w:proofErr w:type="gramEnd"/>
      <w:r>
        <w:rPr>
          <w:rFonts w:ascii="Arial" w:hAnsi="Arial" w:cs="Arial"/>
          <w:b/>
          <w:highlight w:val="cyan"/>
        </w:rPr>
        <w:t xml:space="preserve"> bodu 3.1.3.1.2.</w:t>
      </w:r>
    </w:p>
    <w:p w:rsidR="00855261" w:rsidRDefault="00855261" w:rsidP="00855261">
      <w:pPr>
        <w:pStyle w:val="Odstavecseseznamem"/>
        <w:spacing w:before="120" w:after="0" w:line="240" w:lineRule="auto"/>
        <w:ind w:left="0"/>
        <w:jc w:val="both"/>
        <w:rPr>
          <w:rFonts w:ascii="Arial" w:hAnsi="Arial" w:cs="Arial"/>
          <w:i/>
          <w:sz w:val="24"/>
          <w:szCs w:val="24"/>
          <w:highlight w:val="cyan"/>
        </w:rPr>
      </w:pPr>
      <w:r>
        <w:rPr>
          <w:rFonts w:ascii="Arial" w:hAnsi="Arial" w:cs="Arial"/>
          <w:bCs/>
          <w:i/>
          <w:iCs/>
          <w:sz w:val="24"/>
          <w:szCs w:val="24"/>
          <w:highlight w:val="cyan"/>
        </w:rPr>
        <w:t xml:space="preserve">K návrhu předkladatele </w:t>
      </w:r>
      <w:proofErr w:type="gramStart"/>
      <w:r w:rsidRPr="00E04399">
        <w:rPr>
          <w:rFonts w:ascii="Arial" w:hAnsi="Arial" w:cs="Arial"/>
          <w:bCs/>
          <w:i/>
          <w:iCs/>
          <w:sz w:val="24"/>
          <w:szCs w:val="24"/>
          <w:highlight w:val="cyan"/>
        </w:rPr>
        <w:t>na</w:t>
      </w:r>
      <w:proofErr w:type="gramEnd"/>
      <w:r w:rsidRPr="00E04399">
        <w:rPr>
          <w:rFonts w:ascii="Arial" w:hAnsi="Arial" w:cs="Arial"/>
          <w:bCs/>
          <w:i/>
          <w:iCs/>
          <w:sz w:val="24"/>
          <w:szCs w:val="24"/>
          <w:highlight w:val="cyan"/>
        </w:rPr>
        <w:t xml:space="preserve"> legislativní úpravu </w:t>
      </w:r>
      <w:r>
        <w:rPr>
          <w:rFonts w:ascii="Arial" w:hAnsi="Arial" w:cs="Arial"/>
          <w:bCs/>
          <w:i/>
          <w:iCs/>
          <w:sz w:val="24"/>
          <w:szCs w:val="24"/>
          <w:highlight w:val="cyan"/>
        </w:rPr>
        <w:t xml:space="preserve">§ 24 odst. 2 písm. v) </w:t>
      </w:r>
      <w:proofErr w:type="gramStart"/>
      <w:r>
        <w:rPr>
          <w:rFonts w:ascii="Arial" w:hAnsi="Arial" w:cs="Arial"/>
          <w:bCs/>
          <w:i/>
          <w:iCs/>
          <w:sz w:val="24"/>
          <w:szCs w:val="24"/>
          <w:highlight w:val="cyan"/>
        </w:rPr>
        <w:t>bodu</w:t>
      </w:r>
      <w:proofErr w:type="gramEnd"/>
      <w:r>
        <w:rPr>
          <w:rFonts w:ascii="Arial" w:hAnsi="Arial" w:cs="Arial"/>
          <w:bCs/>
          <w:i/>
          <w:iCs/>
          <w:sz w:val="24"/>
          <w:szCs w:val="24"/>
          <w:highlight w:val="cyan"/>
        </w:rPr>
        <w:t xml:space="preserve"> 2 ZDP uvádíme, že příslušná změna ZDP </w:t>
      </w:r>
      <w:r w:rsidRPr="00E04399">
        <w:rPr>
          <w:rFonts w:ascii="Arial" w:hAnsi="Arial" w:cs="Arial"/>
          <w:bCs/>
          <w:i/>
          <w:iCs/>
          <w:sz w:val="24"/>
          <w:szCs w:val="24"/>
          <w:highlight w:val="cyan"/>
        </w:rPr>
        <w:t>není v kompetenci Generálního finanční ředitelství.</w:t>
      </w:r>
    </w:p>
    <w:p w:rsidR="00855261" w:rsidRDefault="00855261" w:rsidP="00855261">
      <w:pPr>
        <w:jc w:val="both"/>
        <w:rPr>
          <w:rFonts w:ascii="Arial" w:hAnsi="Arial" w:cs="Arial"/>
          <w:u w:val="single"/>
        </w:rPr>
      </w:pPr>
    </w:p>
    <w:p w:rsidR="00855261" w:rsidRPr="0026417A" w:rsidRDefault="00855261" w:rsidP="00855261">
      <w:pPr>
        <w:pStyle w:val="Odstavecseseznamem"/>
        <w:spacing w:after="0" w:line="240" w:lineRule="auto"/>
        <w:ind w:left="0"/>
        <w:jc w:val="both"/>
        <w:rPr>
          <w:rFonts w:ascii="Arial" w:hAnsi="Arial" w:cs="Arial"/>
          <w:b/>
          <w:sz w:val="24"/>
          <w:szCs w:val="24"/>
          <w:highlight w:val="cyan"/>
        </w:rPr>
      </w:pPr>
      <w:r>
        <w:rPr>
          <w:rFonts w:ascii="Arial" w:hAnsi="Arial" w:cs="Arial"/>
          <w:b/>
          <w:bCs/>
          <w:sz w:val="24"/>
          <w:szCs w:val="24"/>
          <w:highlight w:val="cyan"/>
          <w:u w:val="single"/>
        </w:rPr>
        <w:t xml:space="preserve">K dílčímu závěru č. </w:t>
      </w:r>
      <w:r w:rsidRPr="00A45A5D">
        <w:rPr>
          <w:rFonts w:ascii="Arial" w:hAnsi="Arial" w:cs="Arial"/>
          <w:b/>
          <w:sz w:val="24"/>
          <w:szCs w:val="24"/>
          <w:highlight w:val="cyan"/>
          <w:u w:val="single"/>
        </w:rPr>
        <w:t>3.1.</w:t>
      </w:r>
      <w:r>
        <w:rPr>
          <w:rFonts w:ascii="Arial" w:hAnsi="Arial" w:cs="Arial"/>
          <w:b/>
          <w:sz w:val="24"/>
          <w:szCs w:val="24"/>
          <w:highlight w:val="cyan"/>
          <w:u w:val="single"/>
        </w:rPr>
        <w:t>4</w:t>
      </w:r>
      <w:r w:rsidRPr="00A45A5D">
        <w:rPr>
          <w:rFonts w:ascii="Arial" w:hAnsi="Arial" w:cs="Arial"/>
          <w:b/>
          <w:sz w:val="24"/>
          <w:szCs w:val="24"/>
          <w:highlight w:val="cyan"/>
          <w:u w:val="single"/>
        </w:rPr>
        <w:t>.</w:t>
      </w:r>
      <w:r>
        <w:rPr>
          <w:rFonts w:ascii="Arial" w:hAnsi="Arial" w:cs="Arial"/>
          <w:b/>
          <w:sz w:val="24"/>
          <w:szCs w:val="24"/>
          <w:highlight w:val="cyan"/>
        </w:rPr>
        <w:t xml:space="preserve"> (</w:t>
      </w:r>
      <w:proofErr w:type="gramStart"/>
      <w:r>
        <w:rPr>
          <w:rFonts w:ascii="Arial" w:hAnsi="Arial" w:cs="Arial"/>
          <w:b/>
          <w:sz w:val="24"/>
          <w:szCs w:val="24"/>
          <w:highlight w:val="cyan"/>
        </w:rPr>
        <w:t>p</w:t>
      </w:r>
      <w:r w:rsidRPr="000C7A36">
        <w:rPr>
          <w:rFonts w:ascii="Arial" w:hAnsi="Arial" w:cs="Arial"/>
          <w:b/>
          <w:sz w:val="24"/>
          <w:szCs w:val="24"/>
          <w:highlight w:val="cyan"/>
        </w:rPr>
        <w:t>řevodce</w:t>
      </w:r>
      <w:proofErr w:type="gramEnd"/>
      <w:r w:rsidRPr="000C7A36">
        <w:rPr>
          <w:rFonts w:ascii="Arial" w:hAnsi="Arial" w:cs="Arial"/>
          <w:b/>
          <w:sz w:val="24"/>
          <w:szCs w:val="24"/>
          <w:highlight w:val="cyan"/>
        </w:rPr>
        <w:t xml:space="preserve"> je </w:t>
      </w:r>
      <w:r>
        <w:rPr>
          <w:rFonts w:ascii="Arial" w:hAnsi="Arial" w:cs="Arial"/>
          <w:b/>
          <w:sz w:val="24"/>
          <w:szCs w:val="24"/>
          <w:highlight w:val="cyan"/>
        </w:rPr>
        <w:t>daňový nerezident)</w:t>
      </w:r>
    </w:p>
    <w:p w:rsidR="00855261" w:rsidRDefault="00855261" w:rsidP="00855261">
      <w:pPr>
        <w:jc w:val="both"/>
        <w:rPr>
          <w:rFonts w:ascii="Arial" w:hAnsi="Arial" w:cs="Arial"/>
          <w:u w:val="single"/>
        </w:rPr>
      </w:pPr>
    </w:p>
    <w:p w:rsidR="00855261" w:rsidRDefault="00855261" w:rsidP="00855261">
      <w:pPr>
        <w:pStyle w:val="Odstavecseseznamem"/>
        <w:spacing w:after="120" w:line="240" w:lineRule="auto"/>
        <w:ind w:left="0"/>
        <w:jc w:val="both"/>
        <w:rPr>
          <w:rFonts w:ascii="Arial" w:hAnsi="Arial" w:cs="Arial"/>
          <w:b/>
          <w:sz w:val="24"/>
          <w:szCs w:val="24"/>
          <w:highlight w:val="cyan"/>
        </w:rPr>
      </w:pPr>
      <w:proofErr w:type="gramStart"/>
      <w:r>
        <w:rPr>
          <w:rFonts w:ascii="Arial" w:hAnsi="Arial" w:cs="Arial"/>
          <w:b/>
          <w:sz w:val="24"/>
          <w:szCs w:val="24"/>
          <w:highlight w:val="cyan"/>
        </w:rPr>
        <w:t>k</w:t>
      </w:r>
      <w:proofErr w:type="gramEnd"/>
      <w:r>
        <w:rPr>
          <w:rFonts w:ascii="Arial" w:hAnsi="Arial" w:cs="Arial"/>
          <w:b/>
          <w:sz w:val="24"/>
          <w:szCs w:val="24"/>
          <w:highlight w:val="cyan"/>
        </w:rPr>
        <w:t xml:space="preserve"> bodu 3.1.4.1.</w:t>
      </w:r>
    </w:p>
    <w:p w:rsidR="00855261" w:rsidRPr="00B7443E" w:rsidRDefault="00855261" w:rsidP="00855261">
      <w:pPr>
        <w:pStyle w:val="Odstavecseseznamem"/>
        <w:spacing w:after="0" w:line="240" w:lineRule="auto"/>
        <w:ind w:left="0"/>
        <w:jc w:val="both"/>
        <w:rPr>
          <w:rFonts w:ascii="Arial" w:hAnsi="Arial" w:cs="Arial"/>
          <w:i/>
          <w:sz w:val="24"/>
          <w:szCs w:val="24"/>
          <w:highlight w:val="cyan"/>
        </w:rPr>
      </w:pPr>
      <w:r>
        <w:rPr>
          <w:rFonts w:ascii="Arial" w:hAnsi="Arial" w:cs="Arial"/>
          <w:bCs/>
          <w:i/>
          <w:iCs/>
          <w:sz w:val="24"/>
          <w:szCs w:val="24"/>
          <w:highlight w:val="cyan"/>
        </w:rPr>
        <w:t xml:space="preserve">Souhlas s návrhem předkladatele, že výše účetních odpisů jako daňově uznatelného nákladu je limitována prokázanou výší úhrady, za kterou daňový nerezident (vkladatel) nehmotný majetek nabyl. </w:t>
      </w:r>
      <w:r w:rsidRPr="00B7443E">
        <w:rPr>
          <w:rFonts w:ascii="Arial" w:hAnsi="Arial" w:cs="Arial"/>
          <w:bCs/>
          <w:i/>
          <w:iCs/>
          <w:sz w:val="24"/>
          <w:szCs w:val="24"/>
          <w:highlight w:val="cyan"/>
        </w:rPr>
        <w:t>Výše úhrady je prok</w:t>
      </w:r>
      <w:r>
        <w:rPr>
          <w:rFonts w:ascii="Arial" w:hAnsi="Arial" w:cs="Arial"/>
          <w:bCs/>
          <w:i/>
          <w:iCs/>
          <w:sz w:val="24"/>
          <w:szCs w:val="24"/>
          <w:highlight w:val="cyan"/>
        </w:rPr>
        <w:t>azována</w:t>
      </w:r>
      <w:r w:rsidRPr="00B7443E">
        <w:rPr>
          <w:rFonts w:ascii="Arial" w:hAnsi="Arial" w:cs="Arial"/>
          <w:bCs/>
          <w:i/>
          <w:iCs/>
          <w:sz w:val="24"/>
          <w:szCs w:val="24"/>
          <w:highlight w:val="cyan"/>
        </w:rPr>
        <w:t xml:space="preserve"> u vkladatele, ale jako limit daňové uznatelnosti účetních odpisů ji musí prokázat nabyvatel.</w:t>
      </w:r>
    </w:p>
    <w:p w:rsidR="00855261" w:rsidRDefault="00855261" w:rsidP="00855261">
      <w:pPr>
        <w:jc w:val="both"/>
        <w:rPr>
          <w:rFonts w:ascii="Arial" w:hAnsi="Arial" w:cs="Arial"/>
          <w:u w:val="single"/>
        </w:rPr>
      </w:pPr>
    </w:p>
    <w:p w:rsidR="00855261" w:rsidRDefault="00855261" w:rsidP="00855261">
      <w:pPr>
        <w:pStyle w:val="Odstavecseseznamem"/>
        <w:spacing w:after="120" w:line="240" w:lineRule="auto"/>
        <w:ind w:left="0"/>
        <w:jc w:val="both"/>
        <w:rPr>
          <w:rFonts w:ascii="Arial" w:hAnsi="Arial" w:cs="Arial"/>
          <w:b/>
          <w:sz w:val="24"/>
          <w:szCs w:val="24"/>
          <w:highlight w:val="cyan"/>
        </w:rPr>
      </w:pPr>
      <w:proofErr w:type="gramStart"/>
      <w:r>
        <w:rPr>
          <w:rFonts w:ascii="Arial" w:hAnsi="Arial" w:cs="Arial"/>
          <w:b/>
          <w:sz w:val="24"/>
          <w:szCs w:val="24"/>
          <w:highlight w:val="cyan"/>
        </w:rPr>
        <w:t>k</w:t>
      </w:r>
      <w:proofErr w:type="gramEnd"/>
      <w:r>
        <w:rPr>
          <w:rFonts w:ascii="Arial" w:hAnsi="Arial" w:cs="Arial"/>
          <w:b/>
          <w:sz w:val="24"/>
          <w:szCs w:val="24"/>
          <w:highlight w:val="cyan"/>
        </w:rPr>
        <w:t xml:space="preserve"> bodu 3.1.4.2.</w:t>
      </w:r>
    </w:p>
    <w:p w:rsidR="00855261" w:rsidRDefault="00855261" w:rsidP="00855261">
      <w:pPr>
        <w:pStyle w:val="Odstavecseseznamem"/>
        <w:spacing w:after="0" w:line="240" w:lineRule="auto"/>
        <w:ind w:left="0"/>
        <w:jc w:val="both"/>
        <w:rPr>
          <w:rFonts w:ascii="Arial" w:hAnsi="Arial" w:cs="Arial"/>
          <w:bCs/>
          <w:i/>
          <w:iCs/>
          <w:sz w:val="24"/>
          <w:szCs w:val="24"/>
          <w:highlight w:val="cyan"/>
        </w:rPr>
      </w:pPr>
      <w:r>
        <w:rPr>
          <w:rFonts w:ascii="Arial" w:hAnsi="Arial" w:cs="Arial"/>
          <w:bCs/>
          <w:i/>
          <w:iCs/>
          <w:sz w:val="24"/>
          <w:szCs w:val="24"/>
          <w:highlight w:val="cyan"/>
        </w:rPr>
        <w:t xml:space="preserve">Souhlas s návrhem předkladatele, že výše úhrady prokázané vkladatelem se použije jako limit daňové uznatelnosti účetních odpisů u nabyvatele bez ohledu </w:t>
      </w:r>
      <w:proofErr w:type="gramStart"/>
      <w:r>
        <w:rPr>
          <w:rFonts w:ascii="Arial" w:hAnsi="Arial" w:cs="Arial"/>
          <w:bCs/>
          <w:i/>
          <w:iCs/>
          <w:sz w:val="24"/>
          <w:szCs w:val="24"/>
          <w:highlight w:val="cyan"/>
        </w:rPr>
        <w:t>na</w:t>
      </w:r>
      <w:proofErr w:type="gramEnd"/>
      <w:r>
        <w:rPr>
          <w:rFonts w:ascii="Arial" w:hAnsi="Arial" w:cs="Arial"/>
          <w:bCs/>
          <w:i/>
          <w:iCs/>
          <w:sz w:val="24"/>
          <w:szCs w:val="24"/>
          <w:highlight w:val="cyan"/>
        </w:rPr>
        <w:t xml:space="preserve"> charakter vkladatele (podnikatel, nepodnikatel, účetní jednotka) a na skutečnost, zda z majetku byly v zahraničí uplatněny daňově relevantní náklady.</w:t>
      </w:r>
    </w:p>
    <w:p w:rsidR="00855261" w:rsidRDefault="00855261" w:rsidP="00855261">
      <w:pPr>
        <w:pStyle w:val="Odstavecseseznamem"/>
        <w:spacing w:after="0" w:line="240" w:lineRule="auto"/>
        <w:ind w:left="0"/>
        <w:jc w:val="both"/>
        <w:rPr>
          <w:rFonts w:ascii="Arial" w:hAnsi="Arial" w:cs="Arial"/>
          <w:i/>
          <w:sz w:val="24"/>
          <w:szCs w:val="24"/>
          <w:highlight w:val="cyan"/>
        </w:rPr>
      </w:pPr>
    </w:p>
    <w:p w:rsidR="00855261" w:rsidRDefault="00855261" w:rsidP="00855261">
      <w:pPr>
        <w:pStyle w:val="Odstavecseseznamem"/>
        <w:spacing w:after="120" w:line="240" w:lineRule="auto"/>
        <w:ind w:left="0"/>
        <w:jc w:val="both"/>
        <w:rPr>
          <w:rFonts w:ascii="Arial" w:hAnsi="Arial" w:cs="Arial"/>
          <w:b/>
          <w:sz w:val="24"/>
          <w:szCs w:val="24"/>
          <w:highlight w:val="cyan"/>
        </w:rPr>
      </w:pPr>
      <w:proofErr w:type="gramStart"/>
      <w:r>
        <w:rPr>
          <w:rFonts w:ascii="Arial" w:hAnsi="Arial" w:cs="Arial"/>
          <w:b/>
          <w:sz w:val="24"/>
          <w:szCs w:val="24"/>
          <w:highlight w:val="cyan"/>
        </w:rPr>
        <w:t>k</w:t>
      </w:r>
      <w:proofErr w:type="gramEnd"/>
      <w:r>
        <w:rPr>
          <w:rFonts w:ascii="Arial" w:hAnsi="Arial" w:cs="Arial"/>
          <w:b/>
          <w:sz w:val="24"/>
          <w:szCs w:val="24"/>
          <w:highlight w:val="cyan"/>
        </w:rPr>
        <w:t xml:space="preserve"> bodu 3.1.4.3.</w:t>
      </w:r>
    </w:p>
    <w:p w:rsidR="00855261" w:rsidRDefault="00855261" w:rsidP="00855261">
      <w:pPr>
        <w:pStyle w:val="Odstavecseseznamem"/>
        <w:spacing w:after="0" w:line="240" w:lineRule="auto"/>
        <w:ind w:left="0"/>
        <w:jc w:val="both"/>
        <w:rPr>
          <w:rFonts w:ascii="Arial" w:hAnsi="Arial" w:cs="Arial"/>
          <w:bCs/>
          <w:i/>
          <w:iCs/>
          <w:sz w:val="24"/>
          <w:szCs w:val="24"/>
          <w:highlight w:val="cyan"/>
        </w:rPr>
      </w:pPr>
      <w:r>
        <w:rPr>
          <w:rFonts w:ascii="Arial" w:hAnsi="Arial" w:cs="Arial"/>
          <w:bCs/>
          <w:i/>
          <w:iCs/>
          <w:sz w:val="24"/>
          <w:szCs w:val="24"/>
          <w:highlight w:val="cyan"/>
        </w:rPr>
        <w:t>Souhlas s návrhem předkladatele.</w:t>
      </w:r>
    </w:p>
    <w:p w:rsidR="00855261" w:rsidRPr="00640D9B" w:rsidRDefault="00855261" w:rsidP="00855261">
      <w:pPr>
        <w:pStyle w:val="Odstavecseseznamem"/>
        <w:spacing w:before="120" w:after="0" w:line="240" w:lineRule="auto"/>
        <w:ind w:left="0"/>
        <w:jc w:val="both"/>
        <w:rPr>
          <w:rFonts w:ascii="Arial" w:hAnsi="Arial" w:cs="Arial"/>
          <w:bCs/>
          <w:i/>
          <w:iCs/>
          <w:sz w:val="24"/>
          <w:szCs w:val="24"/>
          <w:highlight w:val="cyan"/>
        </w:rPr>
      </w:pPr>
      <w:r w:rsidRPr="00640D9B">
        <w:rPr>
          <w:rFonts w:ascii="Arial" w:hAnsi="Arial" w:cs="Arial"/>
          <w:bCs/>
          <w:i/>
          <w:iCs/>
          <w:sz w:val="24"/>
          <w:szCs w:val="24"/>
          <w:highlight w:val="cyan"/>
        </w:rPr>
        <w:t>Ke všem dílčím odpovědím z oblasti nehmotného majetku pak GFŘ v souladu s</w:t>
      </w:r>
      <w:r>
        <w:rPr>
          <w:rFonts w:ascii="Arial" w:hAnsi="Arial" w:cs="Arial"/>
          <w:bCs/>
          <w:i/>
          <w:iCs/>
          <w:sz w:val="24"/>
          <w:szCs w:val="24"/>
          <w:highlight w:val="cyan"/>
        </w:rPr>
        <w:t> </w:t>
      </w:r>
      <w:r w:rsidRPr="00640D9B">
        <w:rPr>
          <w:rFonts w:ascii="Arial" w:hAnsi="Arial" w:cs="Arial"/>
          <w:bCs/>
          <w:i/>
          <w:iCs/>
          <w:sz w:val="24"/>
          <w:szCs w:val="24"/>
          <w:highlight w:val="cyan"/>
        </w:rPr>
        <w:t>předkladatelem tohoto příspěvku zdůrazňuje, že</w:t>
      </w:r>
      <w:r>
        <w:rPr>
          <w:rFonts w:ascii="Arial" w:hAnsi="Arial" w:cs="Arial"/>
          <w:bCs/>
          <w:i/>
          <w:iCs/>
          <w:sz w:val="24"/>
          <w:szCs w:val="24"/>
          <w:highlight w:val="cyan"/>
        </w:rPr>
        <w:t xml:space="preserve"> </w:t>
      </w:r>
      <w:r w:rsidRPr="00640D9B">
        <w:rPr>
          <w:rFonts w:ascii="Arial" w:hAnsi="Arial" w:cs="Arial"/>
          <w:bCs/>
          <w:i/>
          <w:iCs/>
          <w:sz w:val="24"/>
          <w:szCs w:val="24"/>
          <w:highlight w:val="cyan"/>
        </w:rPr>
        <w:t xml:space="preserve">tato část příspěvku neřeší </w:t>
      </w:r>
      <w:r w:rsidRPr="00640D9B">
        <w:rPr>
          <w:rFonts w:ascii="Arial" w:hAnsi="Arial" w:cs="Arial"/>
          <w:i/>
          <w:sz w:val="24"/>
          <w:szCs w:val="24"/>
          <w:highlight w:val="cyan"/>
        </w:rPr>
        <w:t>problematiku nehmotného majetku dle § 32a ZDP ve znění platném do 31.12.2020</w:t>
      </w:r>
      <w:r>
        <w:rPr>
          <w:rFonts w:ascii="Arial" w:hAnsi="Arial" w:cs="Arial"/>
          <w:i/>
          <w:sz w:val="24"/>
          <w:szCs w:val="24"/>
          <w:highlight w:val="cyan"/>
        </w:rPr>
        <w:t xml:space="preserve"> </w:t>
      </w:r>
      <w:r w:rsidRPr="00640D9B">
        <w:rPr>
          <w:rFonts w:ascii="Arial" w:hAnsi="Arial" w:cs="Arial"/>
          <w:bCs/>
          <w:i/>
          <w:iCs/>
          <w:sz w:val="24"/>
          <w:szCs w:val="24"/>
          <w:highlight w:val="cyan"/>
        </w:rPr>
        <w:t xml:space="preserve">(viz čl. XII body 10. </w:t>
      </w:r>
      <w:proofErr w:type="gramStart"/>
      <w:r>
        <w:rPr>
          <w:rFonts w:ascii="Arial" w:hAnsi="Arial" w:cs="Arial"/>
          <w:bCs/>
          <w:i/>
          <w:iCs/>
          <w:sz w:val="24"/>
          <w:szCs w:val="24"/>
          <w:highlight w:val="cyan"/>
        </w:rPr>
        <w:t>a</w:t>
      </w:r>
      <w:r w:rsidRPr="00640D9B">
        <w:rPr>
          <w:rFonts w:ascii="Arial" w:hAnsi="Arial" w:cs="Arial"/>
          <w:bCs/>
          <w:i/>
          <w:iCs/>
          <w:sz w:val="24"/>
          <w:szCs w:val="24"/>
          <w:highlight w:val="cyan"/>
        </w:rPr>
        <w:t>ž</w:t>
      </w:r>
      <w:proofErr w:type="gramEnd"/>
      <w:r>
        <w:rPr>
          <w:rFonts w:ascii="Arial" w:hAnsi="Arial" w:cs="Arial"/>
          <w:bCs/>
          <w:i/>
          <w:iCs/>
          <w:sz w:val="24"/>
          <w:szCs w:val="24"/>
          <w:highlight w:val="cyan"/>
        </w:rPr>
        <w:t xml:space="preserve"> </w:t>
      </w:r>
      <w:r w:rsidRPr="00640D9B">
        <w:rPr>
          <w:rFonts w:ascii="Arial" w:hAnsi="Arial" w:cs="Arial"/>
          <w:bCs/>
          <w:i/>
          <w:iCs/>
          <w:sz w:val="24"/>
          <w:szCs w:val="24"/>
          <w:highlight w:val="cyan"/>
        </w:rPr>
        <w:t>12. zákona č. 609/2020 Sb.)</w:t>
      </w:r>
      <w:r w:rsidRPr="00640D9B">
        <w:rPr>
          <w:rFonts w:ascii="Arial" w:hAnsi="Arial" w:cs="Arial"/>
          <w:i/>
          <w:sz w:val="24"/>
          <w:szCs w:val="24"/>
          <w:highlight w:val="cyan"/>
        </w:rPr>
        <w:t xml:space="preserve">, který byl předmětem příspěvku </w:t>
      </w:r>
      <w:r w:rsidRPr="00640D9B">
        <w:rPr>
          <w:rFonts w:ascii="Arial" w:hAnsi="Arial" w:cs="Arial"/>
          <w:i/>
          <w:sz w:val="24"/>
          <w:szCs w:val="24"/>
          <w:highlight w:val="cyan"/>
          <w:shd w:val="clear" w:color="auto" w:fill="FFFFFF"/>
        </w:rPr>
        <w:t>573/24.03.21 Vstupní cena hmotného a nehmotného majetku, nabývací cena cenných papírů a obchodních podílů a daňově uznatelné náklady u ostatního majetku evidovaného u přijímajícího poplatníka</w:t>
      </w:r>
      <w:r w:rsidRPr="00640D9B">
        <w:rPr>
          <w:rFonts w:ascii="Arial" w:hAnsi="Arial" w:cs="Arial"/>
          <w:i/>
          <w:sz w:val="24"/>
          <w:szCs w:val="24"/>
          <w:highlight w:val="cyan"/>
        </w:rPr>
        <w:t>, ale pouze nehmotný majetek dle účetních předpisů</w:t>
      </w:r>
      <w:r w:rsidRPr="00640D9B">
        <w:rPr>
          <w:rFonts w:ascii="Arial" w:hAnsi="Arial" w:cs="Arial"/>
          <w:bCs/>
          <w:i/>
          <w:iCs/>
          <w:sz w:val="24"/>
          <w:szCs w:val="24"/>
          <w:highlight w:val="cyan"/>
        </w:rPr>
        <w:t>.</w:t>
      </w:r>
    </w:p>
    <w:p w:rsidR="0028361D" w:rsidRPr="00640D9B" w:rsidRDefault="0028361D" w:rsidP="00916105">
      <w:pPr>
        <w:pStyle w:val="Odstavecseseznamem"/>
        <w:spacing w:after="0" w:line="240" w:lineRule="auto"/>
        <w:ind w:left="0"/>
        <w:jc w:val="both"/>
        <w:rPr>
          <w:rFonts w:ascii="Arial" w:hAnsi="Arial" w:cs="Arial"/>
          <w:i/>
          <w:sz w:val="24"/>
          <w:szCs w:val="24"/>
          <w:highlight w:val="cyan"/>
          <w:lang w:val="cs-CZ"/>
        </w:rPr>
      </w:pPr>
    </w:p>
    <w:p w:rsidR="0028361D" w:rsidRPr="003A2313" w:rsidRDefault="0028361D" w:rsidP="0028361D">
      <w:pPr>
        <w:jc w:val="both"/>
        <w:rPr>
          <w:rFonts w:ascii="Arial" w:hAnsi="Arial" w:cs="Arial"/>
          <w:u w:val="single"/>
        </w:rPr>
      </w:pPr>
    </w:p>
    <w:p w:rsidR="00AE0B6B" w:rsidRPr="00D22594" w:rsidRDefault="00AE0B6B" w:rsidP="00AE0B6B">
      <w:pPr>
        <w:jc w:val="both"/>
        <w:rPr>
          <w:rFonts w:ascii="Arial" w:hAnsi="Arial" w:cs="Arial"/>
        </w:rPr>
      </w:pPr>
      <w:r>
        <w:rPr>
          <w:rFonts w:ascii="Arial" w:hAnsi="Arial" w:cs="Arial"/>
        </w:rPr>
        <w:t xml:space="preserve">  </w:t>
      </w:r>
    </w:p>
    <w:p w:rsidR="00AE0B6B" w:rsidRPr="003A2313" w:rsidRDefault="00AE0B6B" w:rsidP="00AE0B6B">
      <w:pPr>
        <w:jc w:val="both"/>
        <w:rPr>
          <w:rFonts w:ascii="Arial" w:hAnsi="Arial" w:cs="Arial"/>
          <w:u w:val="single"/>
        </w:rPr>
      </w:pPr>
    </w:p>
    <w:p w:rsidR="00AE0B6B" w:rsidRDefault="00AE0B6B" w:rsidP="00BA07DF">
      <w:pPr>
        <w:pStyle w:val="Zkladntext"/>
        <w:spacing w:after="0" w:line="276" w:lineRule="auto"/>
        <w:rPr>
          <w:rFonts w:ascii="Arial" w:hAnsi="Arial" w:cs="Arial"/>
          <w:b/>
          <w:color w:val="000000"/>
          <w:u w:val="single"/>
          <w:shd w:val="clear" w:color="auto" w:fill="FFFFFF"/>
        </w:rPr>
      </w:pPr>
    </w:p>
    <w:p w:rsidR="002844F3" w:rsidRDefault="002844F3">
      <w:pPr>
        <w:rPr>
          <w:rFonts w:ascii="Arial" w:hAnsi="Arial" w:cs="Arial"/>
          <w:b/>
          <w:color w:val="000000"/>
          <w:u w:val="single"/>
          <w:shd w:val="clear" w:color="auto" w:fill="FFFFFF"/>
          <w:lang w:val="cs-CZ" w:eastAsia="cs-CZ"/>
        </w:rPr>
      </w:pPr>
      <w:r>
        <w:rPr>
          <w:rFonts w:ascii="Arial" w:hAnsi="Arial" w:cs="Arial"/>
          <w:b/>
          <w:color w:val="000000"/>
          <w:u w:val="single"/>
          <w:shd w:val="clear" w:color="auto" w:fill="FFFFFF"/>
        </w:rPr>
        <w:br w:type="page"/>
      </w:r>
    </w:p>
    <w:p w:rsidR="0075656C" w:rsidRDefault="0075656C" w:rsidP="0075656C">
      <w:pPr>
        <w:jc w:val="center"/>
        <w:rPr>
          <w:rFonts w:ascii="Arial" w:hAnsi="Arial" w:cs="Arial"/>
          <w:b/>
          <w:u w:val="single"/>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rsidR="00BF3F76" w:rsidRDefault="00BF3F76" w:rsidP="00BF3F76">
      <w:pPr>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p>
    <w:p w:rsidR="00BF3F76" w:rsidRDefault="00BF3F76" w:rsidP="00BF3F76">
      <w:pPr>
        <w:spacing w:line="276" w:lineRule="auto"/>
        <w:jc w:val="center"/>
        <w:rPr>
          <w:rFonts w:ascii="Arial" w:hAnsi="Arial" w:cs="Arial"/>
          <w:b/>
          <w:color w:val="000000"/>
          <w:u w:val="single"/>
          <w:shd w:val="clear" w:color="auto" w:fill="FFFFFF"/>
        </w:rPr>
      </w:pPr>
    </w:p>
    <w:p w:rsidR="008E6297" w:rsidRPr="00AD5E2E" w:rsidRDefault="008E6297" w:rsidP="008E6297">
      <w:pPr>
        <w:rPr>
          <w:rFonts w:ascii="Arial" w:hAnsi="Arial" w:cs="Arial"/>
          <w:b/>
          <w:color w:val="000000"/>
          <w:u w:val="single"/>
          <w:shd w:val="clear" w:color="auto" w:fill="FFFFFF"/>
          <w:lang w:val="cs-CZ" w:eastAsia="cs-CZ"/>
        </w:rPr>
      </w:pPr>
      <w:r>
        <w:rPr>
          <w:rFonts w:ascii="Arial" w:hAnsi="Arial" w:cs="Arial"/>
          <w:b/>
          <w:shd w:val="clear" w:color="auto" w:fill="FFFFFF"/>
        </w:rPr>
        <w:t>588</w:t>
      </w:r>
      <w:r w:rsidRPr="00C0559A">
        <w:rPr>
          <w:rFonts w:ascii="Arial" w:hAnsi="Arial" w:cs="Arial"/>
          <w:b/>
          <w:shd w:val="clear" w:color="auto" w:fill="FFFFFF"/>
        </w:rPr>
        <w:t>/24.11.21 Srovnatelnost zahraničních trustů a trustových struktur se svěřenským fondem</w:t>
      </w:r>
      <w:r>
        <w:rPr>
          <w:rFonts w:ascii="Arial" w:hAnsi="Arial" w:cs="Arial"/>
          <w:b/>
          <w:shd w:val="clear" w:color="auto" w:fill="FFFFFF"/>
        </w:rPr>
        <w:t xml:space="preserve"> </w:t>
      </w:r>
    </w:p>
    <w:p w:rsidR="008E6297" w:rsidRDefault="008E6297" w:rsidP="008E6297">
      <w:pPr>
        <w:pStyle w:val="Zkladntext"/>
        <w:spacing w:after="0"/>
        <w:jc w:val="both"/>
        <w:rPr>
          <w:rFonts w:ascii="Arial" w:hAnsi="Arial" w:cs="Arial"/>
          <w:b/>
          <w:shd w:val="clear" w:color="auto" w:fill="FFFFFF"/>
        </w:rPr>
      </w:pPr>
    </w:p>
    <w:p w:rsidR="008E6297" w:rsidRPr="00C0559A" w:rsidRDefault="008E6297" w:rsidP="008E6297">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rsidR="008E6297" w:rsidRDefault="008E6297" w:rsidP="008E6297">
      <w:pPr>
        <w:rPr>
          <w:rFonts w:ascii="Arial" w:hAnsi="Arial" w:cs="Arial"/>
          <w:b/>
          <w:color w:val="000000"/>
          <w:u w:val="single"/>
          <w:shd w:val="clear" w:color="auto" w:fill="FFFFFF"/>
          <w:lang w:val="cs-CZ" w:eastAsia="cs-CZ"/>
        </w:rPr>
      </w:pPr>
    </w:p>
    <w:p w:rsidR="008E6297" w:rsidRPr="00C953CD" w:rsidRDefault="008E6297" w:rsidP="008E6297">
      <w:pPr>
        <w:pStyle w:val="Odstavecseseznamem"/>
        <w:numPr>
          <w:ilvl w:val="0"/>
          <w:numId w:val="42"/>
        </w:numPr>
        <w:spacing w:after="0"/>
        <w:ind w:hanging="720"/>
        <w:contextualSpacing/>
        <w:jc w:val="both"/>
        <w:rPr>
          <w:rFonts w:ascii="Arial" w:hAnsi="Arial" w:cs="Arial"/>
          <w:b/>
          <w:bCs/>
          <w:sz w:val="24"/>
          <w:szCs w:val="24"/>
        </w:rPr>
      </w:pPr>
      <w:r w:rsidRPr="00C953CD">
        <w:rPr>
          <w:rFonts w:ascii="Arial" w:hAnsi="Arial" w:cs="Arial"/>
          <w:b/>
          <w:bCs/>
          <w:sz w:val="24"/>
          <w:szCs w:val="24"/>
        </w:rPr>
        <w:t>Srovnatelnost zahraničních trustů a trustových struktur se svěřenským fondem</w:t>
      </w:r>
    </w:p>
    <w:p w:rsidR="008E6297" w:rsidRPr="00C953CD" w:rsidRDefault="008E6297" w:rsidP="008E6297">
      <w:pPr>
        <w:pStyle w:val="Nadpis2"/>
        <w:numPr>
          <w:ilvl w:val="1"/>
          <w:numId w:val="42"/>
        </w:numPr>
        <w:jc w:val="both"/>
        <w:rPr>
          <w:sz w:val="24"/>
          <w:szCs w:val="24"/>
        </w:rPr>
      </w:pPr>
      <w:r w:rsidRPr="00C953CD">
        <w:rPr>
          <w:sz w:val="24"/>
          <w:szCs w:val="24"/>
        </w:rPr>
        <w:t>Cíl příspěvku</w:t>
      </w:r>
    </w:p>
    <w:p w:rsidR="008E6297" w:rsidRPr="00C953CD" w:rsidRDefault="008E6297" w:rsidP="008E6297">
      <w:pPr>
        <w:spacing w:line="276" w:lineRule="auto"/>
        <w:jc w:val="both"/>
        <w:rPr>
          <w:rFonts w:ascii="Arial" w:hAnsi="Arial" w:cs="Arial"/>
        </w:rPr>
      </w:pPr>
    </w:p>
    <w:p w:rsidR="008E6297" w:rsidRPr="00C953CD" w:rsidRDefault="008E6297" w:rsidP="008E6297">
      <w:pPr>
        <w:spacing w:line="276" w:lineRule="auto"/>
        <w:jc w:val="both"/>
        <w:rPr>
          <w:rFonts w:ascii="Arial" w:hAnsi="Arial" w:cs="Arial"/>
        </w:rPr>
      </w:pPr>
      <w:r w:rsidRPr="00C953CD">
        <w:rPr>
          <w:rFonts w:ascii="Arial" w:hAnsi="Arial" w:cs="Arial"/>
        </w:rPr>
        <w:t>Cílem tohoto příspěvku je vyjasnění a sjednocení přístupu k posuzování srovnatelnosti zahraničních trustů a zahraničních trustových struktur (dále „trust“) obdobných svěřenskému fondu, a to s ohledem na možnost aplikovat na majetek vkládaný do zahraničního trustu a plynoucí ze zahraničního trustu do rukou českých daňových rezidentů příslušná ustanovení zákona o daních z příjmů.</w:t>
      </w:r>
    </w:p>
    <w:p w:rsidR="008E6297" w:rsidRPr="00C953CD" w:rsidRDefault="008E6297" w:rsidP="008E6297">
      <w:pPr>
        <w:spacing w:line="276" w:lineRule="auto"/>
        <w:jc w:val="both"/>
        <w:rPr>
          <w:rFonts w:ascii="Arial" w:hAnsi="Arial" w:cs="Arial"/>
        </w:rPr>
      </w:pPr>
    </w:p>
    <w:p w:rsidR="008E6297" w:rsidRPr="00C953CD" w:rsidRDefault="008E6297" w:rsidP="008E6297">
      <w:pPr>
        <w:spacing w:line="276" w:lineRule="auto"/>
        <w:jc w:val="both"/>
        <w:rPr>
          <w:rFonts w:ascii="Arial" w:hAnsi="Arial" w:cs="Arial"/>
        </w:rPr>
      </w:pPr>
      <w:r w:rsidRPr="00C953CD">
        <w:rPr>
          <w:rFonts w:ascii="Arial" w:hAnsi="Arial" w:cs="Arial"/>
        </w:rPr>
        <w:t xml:space="preserve">Tento příspěvek navazuje </w:t>
      </w:r>
      <w:proofErr w:type="gramStart"/>
      <w:r w:rsidRPr="00C953CD">
        <w:rPr>
          <w:rFonts w:ascii="Arial" w:hAnsi="Arial" w:cs="Arial"/>
        </w:rPr>
        <w:t>na</w:t>
      </w:r>
      <w:proofErr w:type="gramEnd"/>
      <w:r w:rsidRPr="00C953CD">
        <w:rPr>
          <w:rFonts w:ascii="Arial" w:hAnsi="Arial" w:cs="Arial"/>
        </w:rPr>
        <w:t xml:space="preserve"> KOV 421/26.02.14 Výklad pojmu svěřenský fond ve vztahu k zahraničním srovnatelným jednotkám. </w:t>
      </w:r>
      <w:proofErr w:type="gramStart"/>
      <w:r w:rsidRPr="00C953CD">
        <w:rPr>
          <w:rFonts w:ascii="Arial" w:hAnsi="Arial" w:cs="Arial"/>
        </w:rPr>
        <w:t>Od</w:t>
      </w:r>
      <w:proofErr w:type="gramEnd"/>
      <w:r w:rsidRPr="00C953CD">
        <w:rPr>
          <w:rFonts w:ascii="Arial" w:hAnsi="Arial" w:cs="Arial"/>
        </w:rPr>
        <w:t xml:space="preserve"> projednání uvedeného příspěvku došlo ke zpřesnění a doplnění některých ustanovení zákona o daních z příjmů („ZDP“) týkajících se svěřenského fondu a podstatně se rozmnožily zkušenosti s přeshraničními vztahy se zahraničními trusty. Kromě toho nová pravidla týkající se svěřenských fondů a zahraničních trustů byla vtělena do dalších českých právních předpisů.</w:t>
      </w:r>
    </w:p>
    <w:p w:rsidR="008E6297" w:rsidRPr="00C953CD" w:rsidRDefault="008E6297" w:rsidP="008E6297">
      <w:pPr>
        <w:pStyle w:val="Nadpis2"/>
        <w:numPr>
          <w:ilvl w:val="1"/>
          <w:numId w:val="42"/>
        </w:numPr>
        <w:jc w:val="both"/>
        <w:rPr>
          <w:sz w:val="24"/>
          <w:szCs w:val="24"/>
        </w:rPr>
      </w:pPr>
      <w:r w:rsidRPr="00C953CD">
        <w:rPr>
          <w:sz w:val="24"/>
          <w:szCs w:val="24"/>
        </w:rPr>
        <w:t>Východiska</w:t>
      </w:r>
    </w:p>
    <w:p w:rsidR="008E6297" w:rsidRPr="00C953CD" w:rsidRDefault="008E6297" w:rsidP="008E6297">
      <w:pPr>
        <w:spacing w:line="276" w:lineRule="auto"/>
        <w:jc w:val="both"/>
        <w:rPr>
          <w:rFonts w:ascii="Arial" w:hAnsi="Arial" w:cs="Arial"/>
        </w:rPr>
      </w:pPr>
    </w:p>
    <w:p w:rsidR="008E6297" w:rsidRPr="00C953CD" w:rsidRDefault="008E6297" w:rsidP="008E6297">
      <w:pPr>
        <w:spacing w:line="276" w:lineRule="auto"/>
        <w:jc w:val="both"/>
        <w:rPr>
          <w:rFonts w:ascii="Arial" w:hAnsi="Arial" w:cs="Arial"/>
        </w:rPr>
      </w:pPr>
      <w:r w:rsidRPr="00C953CD">
        <w:rPr>
          <w:rFonts w:ascii="Arial" w:hAnsi="Arial" w:cs="Arial"/>
        </w:rPr>
        <w:t xml:space="preserve">Česká republika otevřela otázku uznání trustů už tím, že v občanském zákoníku účinném </w:t>
      </w:r>
      <w:proofErr w:type="gramStart"/>
      <w:r w:rsidRPr="00C953CD">
        <w:rPr>
          <w:rFonts w:ascii="Arial" w:hAnsi="Arial" w:cs="Arial"/>
        </w:rPr>
        <w:t>od</w:t>
      </w:r>
      <w:proofErr w:type="gramEnd"/>
      <w:r w:rsidRPr="00C953CD">
        <w:rPr>
          <w:rFonts w:ascii="Arial" w:hAnsi="Arial" w:cs="Arial"/>
        </w:rPr>
        <w:t xml:space="preserve"> 1. 1. 2014 dosti podrobně upravila svěřenský fond</w:t>
      </w:r>
      <w:r w:rsidRPr="00C953CD">
        <w:rPr>
          <w:rStyle w:val="Znakapoznpodarou"/>
          <w:rFonts w:ascii="Arial" w:hAnsi="Arial" w:cs="Arial"/>
        </w:rPr>
        <w:footnoteReference w:id="4"/>
      </w:r>
      <w:r w:rsidRPr="00C953CD">
        <w:rPr>
          <w:rFonts w:ascii="Arial" w:hAnsi="Arial" w:cs="Arial"/>
        </w:rPr>
        <w:t xml:space="preserve">. Na tento nový institut reagovala i novela zákona o daních z příjmů účinná </w:t>
      </w:r>
      <w:proofErr w:type="gramStart"/>
      <w:r w:rsidRPr="00C953CD">
        <w:rPr>
          <w:rFonts w:ascii="Arial" w:hAnsi="Arial" w:cs="Arial"/>
        </w:rPr>
        <w:t>od</w:t>
      </w:r>
      <w:proofErr w:type="gramEnd"/>
      <w:r w:rsidRPr="00C953CD">
        <w:rPr>
          <w:rFonts w:ascii="Arial" w:hAnsi="Arial" w:cs="Arial"/>
        </w:rPr>
        <w:t xml:space="preserve"> 1. 1. 2014. Došlo tak k rozšíření možných právních forem správy, převodu a případně přechodu, majetku mezi poplatníky v tuzemsku i ve vztahu k zahraničním osobám. Čeští daňoví rezidenti se stávají zakladateli nebo beneficienty tuzemských svěřenských fondů i trustů.</w:t>
      </w:r>
    </w:p>
    <w:p w:rsidR="008E6297" w:rsidRPr="00C953CD" w:rsidRDefault="008E6297" w:rsidP="008E6297">
      <w:pPr>
        <w:shd w:val="clear" w:color="auto" w:fill="FFFFFF"/>
        <w:spacing w:line="276" w:lineRule="auto"/>
        <w:jc w:val="both"/>
        <w:rPr>
          <w:rFonts w:ascii="Arial" w:hAnsi="Arial" w:cs="Arial"/>
        </w:rPr>
      </w:pPr>
    </w:p>
    <w:p w:rsidR="008E6297" w:rsidRPr="00C953CD" w:rsidRDefault="008E6297" w:rsidP="008E6297">
      <w:pPr>
        <w:shd w:val="clear" w:color="auto" w:fill="FFFFFF"/>
        <w:spacing w:line="276" w:lineRule="auto"/>
        <w:jc w:val="both"/>
        <w:rPr>
          <w:rFonts w:ascii="Arial" w:hAnsi="Arial" w:cs="Arial"/>
        </w:rPr>
      </w:pPr>
      <w:r w:rsidRPr="00C953CD">
        <w:rPr>
          <w:rFonts w:ascii="Arial" w:hAnsi="Arial" w:cs="Arial"/>
        </w:rPr>
        <w:t xml:space="preserve">Svěřenský fond představuje autonomní, oddělený samostatný majetek (a dluhy vzniklé při správě majetku) určený k vymezenému účelu. K jeho zřízení je třeba, aby zakladatel vyhotovil statut, svěřenský fond byl zapsán do evidence svěřenských fondů a svěřenský správce se ujal správy majetku. Svěřenský správce je povinen postupovat podle předem daných, zákonem vymezených a smluvně sjednaných pravidel. Svěřenský fond je zpravidla zřízen za účelem podpory předem určeného okruhu </w:t>
      </w:r>
      <w:r w:rsidRPr="00C953CD">
        <w:rPr>
          <w:rFonts w:ascii="Arial" w:hAnsi="Arial" w:cs="Arial"/>
        </w:rPr>
        <w:lastRenderedPageBreak/>
        <w:t xml:space="preserve">fyzických osob, resp. za účelem držby a správy majetku a jeho přenosu mezi generacemi. Majetek vyčleněný do svěřenského fondu tak má sloužit nebo z něj má být plněno obmyšleným (beneficientům), kterými mohou být zejména tuzemští i zahraniční poplatníci, fyzické osoby a případně zbytkově fundace a další osoby především z filantropických důvodů. </w:t>
      </w:r>
    </w:p>
    <w:p w:rsidR="008E6297" w:rsidRPr="00C953CD" w:rsidRDefault="008E6297" w:rsidP="008E6297">
      <w:pPr>
        <w:shd w:val="clear" w:color="auto" w:fill="FFFFFF"/>
        <w:spacing w:line="276" w:lineRule="auto"/>
        <w:jc w:val="both"/>
        <w:rPr>
          <w:rFonts w:ascii="Arial" w:hAnsi="Arial" w:cs="Arial"/>
        </w:rPr>
      </w:pPr>
    </w:p>
    <w:p w:rsidR="008E6297" w:rsidRPr="00C953CD" w:rsidRDefault="008E6297" w:rsidP="008E6297">
      <w:pPr>
        <w:shd w:val="clear" w:color="auto" w:fill="FFFFFF"/>
        <w:spacing w:line="276" w:lineRule="auto"/>
        <w:jc w:val="both"/>
        <w:rPr>
          <w:rFonts w:ascii="Arial" w:hAnsi="Arial" w:cs="Arial"/>
        </w:rPr>
      </w:pPr>
      <w:r w:rsidRPr="00C953CD">
        <w:rPr>
          <w:rFonts w:ascii="Arial" w:hAnsi="Arial" w:cs="Arial"/>
        </w:rPr>
        <w:t xml:space="preserve">Svěřenský fond je značně formalizované uspořádání, jehož rozhodující právní znaky jsou v občanském zákoníku explicitně stanoveny. Tím se svěřenský fond částečně liší </w:t>
      </w:r>
      <w:proofErr w:type="gramStart"/>
      <w:r w:rsidRPr="00C953CD">
        <w:rPr>
          <w:rFonts w:ascii="Arial" w:hAnsi="Arial" w:cs="Arial"/>
        </w:rPr>
        <w:t>od</w:t>
      </w:r>
      <w:proofErr w:type="gramEnd"/>
      <w:r w:rsidRPr="00C953CD">
        <w:rPr>
          <w:rFonts w:ascii="Arial" w:hAnsi="Arial" w:cs="Arial"/>
        </w:rPr>
        <w:t xml:space="preserve"> anglosaského trustu, pro který platí větší smluvní volnost. Lze však konstatovat, že svěřenský fond se v mnoha ohledech podobá i obdobným trustovým strukturám v jiných právních řádech, které rovněž vycházejí z kontinentálního práva. Pro všechny tyto jednotky – zahraniční trusty platí, že jsou etablovány jako složité majetkové vztahy (relativní majetková práva) zahrnující vlastnictví majetku jako absolutní právo. Tyto obligační vztahy, ani samostatné vlastnictví majetku nemohou být nositeli práv a povinností a nejsou ani „jinou právnickou osobou“, neboť nemají právní osobnost. Za trust je nositelem práv a povinností obvykle jeho správce, který náklady spojené se správou hradí k tíži majetku v trustu. Při vytvoření trustu dochází k vyčlenění majetku z majetku zakladatele jeho předáním do správy správci trustu smlouvou, nebo pořízením pro případ smrti s tím, aby majetek sloužil určitému účelu uvedenému zejména ve statutu či jiném obdobném zřizovacím dokumentu. Správce trustu majetek drží a spravuje, přičemž vykonává vlastnická práva k majetku vlastním jménem a ve prospěch a k tíži majetku v daném trustu.</w:t>
      </w:r>
    </w:p>
    <w:p w:rsidR="008E6297" w:rsidRPr="00C953CD" w:rsidRDefault="008E6297" w:rsidP="008E6297">
      <w:pPr>
        <w:pStyle w:val="Nadpis2"/>
        <w:numPr>
          <w:ilvl w:val="1"/>
          <w:numId w:val="42"/>
        </w:numPr>
        <w:jc w:val="both"/>
        <w:rPr>
          <w:sz w:val="24"/>
          <w:szCs w:val="24"/>
        </w:rPr>
      </w:pPr>
      <w:r w:rsidRPr="00C953CD">
        <w:rPr>
          <w:sz w:val="24"/>
          <w:szCs w:val="24"/>
        </w:rPr>
        <w:t>Popis problému</w:t>
      </w:r>
    </w:p>
    <w:p w:rsidR="008E6297" w:rsidRPr="00C953CD" w:rsidRDefault="008E6297" w:rsidP="008E6297">
      <w:pPr>
        <w:spacing w:line="276" w:lineRule="auto"/>
        <w:jc w:val="both"/>
        <w:rPr>
          <w:rFonts w:ascii="Arial" w:hAnsi="Arial" w:cs="Arial"/>
        </w:rPr>
      </w:pPr>
    </w:p>
    <w:p w:rsidR="008E6297" w:rsidRPr="00C953CD" w:rsidRDefault="008E6297" w:rsidP="008E6297">
      <w:pPr>
        <w:spacing w:line="276" w:lineRule="auto"/>
        <w:jc w:val="both"/>
        <w:rPr>
          <w:rFonts w:ascii="Arial" w:hAnsi="Arial" w:cs="Arial"/>
        </w:rPr>
      </w:pPr>
      <w:r w:rsidRPr="00C953CD">
        <w:rPr>
          <w:rFonts w:ascii="Arial" w:hAnsi="Arial" w:cs="Arial"/>
        </w:rPr>
        <w:t xml:space="preserve">GFŘ ve svém stanovisku v KOV </w:t>
      </w:r>
      <w:bookmarkStart w:id="1" w:name="_Hlk70251177"/>
      <w:r w:rsidRPr="00C953CD">
        <w:rPr>
          <w:rFonts w:ascii="Arial" w:hAnsi="Arial" w:cs="Arial"/>
        </w:rPr>
        <w:t>421/26.02.14</w:t>
      </w:r>
      <w:bookmarkEnd w:id="1"/>
      <w:r w:rsidRPr="00C953CD">
        <w:rPr>
          <w:rFonts w:ascii="Arial" w:hAnsi="Arial" w:cs="Arial"/>
        </w:rPr>
        <w:t xml:space="preserve"> vyjmenovalo šest kritérií, která musí trust (jednotka) splňovat, aby byla splněna podmínka srovnatelnosti se svěřenským fondem zřízeným podle občanského zákoníku:</w:t>
      </w:r>
    </w:p>
    <w:p w:rsidR="008E6297" w:rsidRPr="00C953CD" w:rsidRDefault="008E6297" w:rsidP="008E6297">
      <w:pPr>
        <w:pStyle w:val="Odstavecseseznamem"/>
        <w:numPr>
          <w:ilvl w:val="0"/>
          <w:numId w:val="41"/>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je vytvořena vyčleněním majetku zakladatele tak, že majetek je svěřen správci k určitému účelu smlouvou, nebo pořízení pro případ smrti,</w:t>
      </w:r>
    </w:p>
    <w:p w:rsidR="008E6297" w:rsidRPr="00C953CD" w:rsidRDefault="008E6297" w:rsidP="008E6297">
      <w:pPr>
        <w:pStyle w:val="Odstavecseseznamem"/>
        <w:numPr>
          <w:ilvl w:val="0"/>
          <w:numId w:val="41"/>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správce majetek drží a spravuje, vykonává vlastnická práva k majetku vlastním jménem a na účet jednotky, vede účetnictví zahraniční jednotky,</w:t>
      </w:r>
    </w:p>
    <w:p w:rsidR="008E6297" w:rsidRPr="00C953CD" w:rsidRDefault="008E6297" w:rsidP="008E6297">
      <w:pPr>
        <w:pStyle w:val="Odstavecseseznamem"/>
        <w:numPr>
          <w:ilvl w:val="0"/>
          <w:numId w:val="41"/>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majetek není ani vlastnictvím správce, ani vlastnictvím zakladatele, ani vlastnictvím obmyšleného, </w:t>
      </w:r>
    </w:p>
    <w:p w:rsidR="008E6297" w:rsidRPr="00C953CD" w:rsidRDefault="008E6297" w:rsidP="008E6297">
      <w:pPr>
        <w:pStyle w:val="Odstavecseseznamem"/>
        <w:numPr>
          <w:ilvl w:val="0"/>
          <w:numId w:val="41"/>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nemá právní osobnost (právní subjektivita), </w:t>
      </w:r>
    </w:p>
    <w:p w:rsidR="008E6297" w:rsidRPr="00C953CD" w:rsidRDefault="008E6297" w:rsidP="008E6297">
      <w:pPr>
        <w:pStyle w:val="Odstavecseseznamem"/>
        <w:numPr>
          <w:ilvl w:val="0"/>
          <w:numId w:val="41"/>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prokáže, že je podle práva státu, jehož je daňovým rezidentem, považována za poplatníka daně obdobné dani z příjmů právnických osob a jeho příjmy se podle práva tohoto státu ani z části nepřičítají jiným osobám,</w:t>
      </w:r>
    </w:p>
    <w:p w:rsidR="008E6297" w:rsidRPr="00C953CD" w:rsidRDefault="008E6297" w:rsidP="008E6297">
      <w:pPr>
        <w:pStyle w:val="Odstavecseseznamem"/>
        <w:numPr>
          <w:ilvl w:val="0"/>
          <w:numId w:val="41"/>
        </w:numPr>
        <w:shd w:val="clear" w:color="auto" w:fill="FFFFFF"/>
        <w:spacing w:after="0"/>
        <w:ind w:hanging="278"/>
        <w:contextualSpacing/>
        <w:jc w:val="both"/>
        <w:rPr>
          <w:rFonts w:ascii="Arial" w:hAnsi="Arial" w:cs="Arial"/>
          <w:i/>
          <w:iCs/>
          <w:sz w:val="24"/>
          <w:szCs w:val="24"/>
        </w:rPr>
      </w:pPr>
      <w:proofErr w:type="gramStart"/>
      <w:r w:rsidRPr="00C953CD">
        <w:rPr>
          <w:rFonts w:ascii="Arial" w:hAnsi="Arial" w:cs="Arial"/>
          <w:i/>
          <w:iCs/>
          <w:sz w:val="24"/>
          <w:szCs w:val="24"/>
        </w:rPr>
        <w:t>zisk</w:t>
      </w:r>
      <w:proofErr w:type="gramEnd"/>
      <w:r w:rsidRPr="00C953CD">
        <w:rPr>
          <w:rFonts w:ascii="Arial" w:hAnsi="Arial" w:cs="Arial"/>
          <w:i/>
          <w:iCs/>
          <w:sz w:val="24"/>
          <w:szCs w:val="24"/>
        </w:rPr>
        <w:t xml:space="preserve"> ze zhodnocení majetku i výplata obmyšlenému je zdanitelným příjmem podle právní úpravy státu, v němž je rezidentem.</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 xml:space="preserve">Ze zkušeností s fungováním trustů a z rozboru některých zahraničních předpisů o daních z příjmů, které dopadají </w:t>
      </w:r>
      <w:proofErr w:type="gramStart"/>
      <w:r w:rsidRPr="00C953CD">
        <w:rPr>
          <w:rFonts w:ascii="Arial" w:hAnsi="Arial" w:cs="Arial"/>
        </w:rPr>
        <w:t>na</w:t>
      </w:r>
      <w:proofErr w:type="gramEnd"/>
      <w:r w:rsidRPr="00C953CD">
        <w:rPr>
          <w:rFonts w:ascii="Arial" w:hAnsi="Arial" w:cs="Arial"/>
        </w:rPr>
        <w:t xml:space="preserve"> trusty, však vyplývá, že podmínky srovnatelnosti trustu se svěřenským fondem uvedené např. v bodech 5) a 6) jsou nedůvodně restriktivní, resp. irelevantní pro aplikaci příslušných ustanovení smlouvy o zamezení </w:t>
      </w:r>
      <w:r w:rsidRPr="00C953CD">
        <w:rPr>
          <w:rFonts w:ascii="Arial" w:hAnsi="Arial" w:cs="Arial"/>
        </w:rPr>
        <w:lastRenderedPageBreak/>
        <w:t>dvojímu zdanění a zákona o daních z příjmů a vedou k diskriminaci trustů, pokud jde o daňový režim příjmů plynoucích do těchto trustů ze zdrojů v ČR a z těchto trustů jejich beneficientům, kteří jsou daňovými rezidenty ČR.</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 xml:space="preserve">Nadbytečnost podmínek uvedených výše např. </w:t>
      </w:r>
      <w:proofErr w:type="gramStart"/>
      <w:r w:rsidRPr="00C953CD">
        <w:rPr>
          <w:rFonts w:ascii="Arial" w:hAnsi="Arial" w:cs="Arial"/>
        </w:rPr>
        <w:t>v</w:t>
      </w:r>
      <w:proofErr w:type="gramEnd"/>
      <w:r w:rsidRPr="00C953CD">
        <w:rPr>
          <w:rFonts w:ascii="Arial" w:hAnsi="Arial" w:cs="Arial"/>
        </w:rPr>
        <w:t xml:space="preserve"> bodech 5) a 6) je zřejmá např. </w:t>
      </w:r>
      <w:proofErr w:type="gramStart"/>
      <w:r w:rsidRPr="00C953CD">
        <w:rPr>
          <w:rFonts w:ascii="Arial" w:hAnsi="Arial" w:cs="Arial"/>
        </w:rPr>
        <w:t>z</w:t>
      </w:r>
      <w:proofErr w:type="gramEnd"/>
      <w:r w:rsidRPr="00C953CD">
        <w:rPr>
          <w:rFonts w:ascii="Arial" w:hAnsi="Arial" w:cs="Arial"/>
        </w:rPr>
        <w:t> poměrně časté skutečnosti, že trust není sám daňovým subjektem, avšak daňové povinnosti za něj plní správce trustu</w:t>
      </w:r>
      <w:r w:rsidRPr="00C953CD">
        <w:rPr>
          <w:rStyle w:val="Znakapoznpodarou"/>
          <w:rFonts w:ascii="Arial" w:hAnsi="Arial" w:cs="Arial"/>
        </w:rPr>
        <w:footnoteReference w:id="5"/>
      </w:r>
      <w:r w:rsidRPr="00C953CD">
        <w:rPr>
          <w:rFonts w:ascii="Arial" w:hAnsi="Arial" w:cs="Arial"/>
        </w:rPr>
        <w:t xml:space="preserve"> k tíži majetku daného trustu, tedy tak, že daň z příjmů se platí ze základu daně z příjmů trustu a na vrub majetku trustu</w:t>
      </w:r>
      <w:r w:rsidRPr="00C953CD">
        <w:rPr>
          <w:rStyle w:val="Znakapoznpodarou"/>
          <w:rFonts w:ascii="Arial" w:hAnsi="Arial" w:cs="Arial"/>
        </w:rPr>
        <w:footnoteReference w:id="6"/>
      </w:r>
      <w:r w:rsidRPr="00C953CD">
        <w:rPr>
          <w:rFonts w:ascii="Arial" w:hAnsi="Arial" w:cs="Arial"/>
        </w:rPr>
        <w:t>. To znamená, že faktický dopad je stejný, jako když trust sám je daňovým subjektem.</w:t>
      </w:r>
      <w:r w:rsidRPr="00C953CD">
        <w:rPr>
          <w:rStyle w:val="Znakapoznpodarou"/>
          <w:rFonts w:ascii="Arial" w:hAnsi="Arial" w:cs="Arial"/>
        </w:rPr>
        <w:footnoteReference w:id="7"/>
      </w:r>
      <w:r w:rsidRPr="00C953CD">
        <w:rPr>
          <w:rFonts w:ascii="Arial" w:hAnsi="Arial" w:cs="Arial"/>
        </w:rPr>
        <w:t xml:space="preserve">  Obdobně, pro účely aplikace příslušných ustanovení zákona o daních z příjmů není důležitá podmínka, že příjem trustu je v zahraničí zdaňován jako příjem právnické osoby nebo fyzické osoby</w:t>
      </w:r>
      <w:r w:rsidRPr="00C953CD">
        <w:rPr>
          <w:rStyle w:val="Znakapoznpodarou"/>
          <w:rFonts w:ascii="Arial" w:hAnsi="Arial" w:cs="Arial"/>
        </w:rPr>
        <w:footnoteReference w:id="8"/>
      </w:r>
      <w:r w:rsidRPr="00C953CD">
        <w:rPr>
          <w:rFonts w:ascii="Arial" w:hAnsi="Arial" w:cs="Arial"/>
        </w:rPr>
        <w:t xml:space="preserve">. Stejně tak z hlediska aplikace zákona o daních z příjmů je zjevně irelevantní podmínka, aby zisk ze zhodnocení majetku a výplata obmyšlenému byly zdanitelným příjmem podle právní úpravy státu, v němž je trust rezidentem. Důvodem je, že český daňový rezident je povinen při zdanění zisku nebo jiné výplaty plynoucí mu z trustu postupovat podle ZDP, resp. příslušné smlouvy o zamezení dvojímu zdanění. Uvedená podmínka může vést k bezpředmětné diskvalifikaci např. </w:t>
      </w:r>
      <w:proofErr w:type="gramStart"/>
      <w:r w:rsidRPr="00C953CD">
        <w:rPr>
          <w:rFonts w:ascii="Arial" w:hAnsi="Arial" w:cs="Arial"/>
        </w:rPr>
        <w:t>trustů</w:t>
      </w:r>
      <w:proofErr w:type="gramEnd"/>
      <w:r w:rsidRPr="00C953CD">
        <w:rPr>
          <w:rFonts w:ascii="Arial" w:hAnsi="Arial" w:cs="Arial"/>
        </w:rPr>
        <w:t>, které jsou daňovými rezidenty států, které aplikují teritoriální či semi-teritoriální princip zdanění nebo vyjímají ze zdanění některé druhy příjmů fyzických osob. Tyto a další prvky zahraničního daňové režimu nemají žádný význam pro daňový režim vyčlenění majetku do trustu nebo příjmů plynoucích z trustu ve prospěch českých daňových rezidentů podle příslušných ustanovení zákona o daních z příjmů.</w:t>
      </w:r>
    </w:p>
    <w:p w:rsidR="008E6297" w:rsidRPr="00C953CD" w:rsidRDefault="008E6297" w:rsidP="008E6297">
      <w:pPr>
        <w:pStyle w:val="Nadpis2"/>
        <w:numPr>
          <w:ilvl w:val="1"/>
          <w:numId w:val="42"/>
        </w:numPr>
        <w:jc w:val="both"/>
        <w:rPr>
          <w:sz w:val="24"/>
          <w:szCs w:val="24"/>
        </w:rPr>
      </w:pPr>
      <w:r w:rsidRPr="00C953CD">
        <w:rPr>
          <w:sz w:val="24"/>
          <w:szCs w:val="24"/>
        </w:rPr>
        <w:t>Návrh řešení</w:t>
      </w:r>
    </w:p>
    <w:p w:rsidR="008E6297" w:rsidRPr="00C953CD" w:rsidRDefault="008E6297" w:rsidP="008E6297">
      <w:pPr>
        <w:pStyle w:val="Nadpis2"/>
        <w:spacing w:after="120" w:line="276" w:lineRule="auto"/>
        <w:jc w:val="both"/>
        <w:rPr>
          <w:b w:val="0"/>
          <w:sz w:val="24"/>
          <w:szCs w:val="24"/>
        </w:rPr>
      </w:pPr>
      <w:r w:rsidRPr="00C953CD">
        <w:rPr>
          <w:b w:val="0"/>
          <w:sz w:val="24"/>
          <w:szCs w:val="24"/>
        </w:rPr>
        <w:t xml:space="preserve">Podle našeho názoru je třeba sjednotit přístup k trustům v daňovém právu s přístupem k trustům v ostatních předpisech právního řádu ČR. </w:t>
      </w:r>
    </w:p>
    <w:p w:rsidR="008E6297" w:rsidRPr="006D57F9" w:rsidRDefault="008E6297" w:rsidP="008E6297">
      <w:pPr>
        <w:pStyle w:val="Nadpis3"/>
        <w:jc w:val="both"/>
        <w:rPr>
          <w:rFonts w:ascii="Arial" w:hAnsi="Arial" w:cs="Arial"/>
          <w:b w:val="0"/>
          <w:sz w:val="24"/>
          <w:szCs w:val="24"/>
        </w:rPr>
      </w:pPr>
      <w:r w:rsidRPr="006D57F9">
        <w:rPr>
          <w:rFonts w:ascii="Arial" w:hAnsi="Arial" w:cs="Arial"/>
          <w:b w:val="0"/>
          <w:sz w:val="24"/>
          <w:szCs w:val="24"/>
        </w:rPr>
        <w:t xml:space="preserve">Na trusty, které byly zřízeny podle zahraničního práva a jejichž hlavní právní charakteristiky odpovídají základním právním znakům, fungování a struktuře požadovaným pro svěřenské fondy občanským zákoníkem, se použijí příslušná </w:t>
      </w:r>
      <w:r w:rsidRPr="006D57F9">
        <w:rPr>
          <w:rFonts w:ascii="Arial" w:hAnsi="Arial" w:cs="Arial"/>
          <w:b w:val="0"/>
          <w:sz w:val="24"/>
          <w:szCs w:val="24"/>
        </w:rPr>
        <w:lastRenderedPageBreak/>
        <w:t xml:space="preserve">ustanovení ZDP (jakož i dalších právních předpisů o daních) platná </w:t>
      </w:r>
      <w:proofErr w:type="gramStart"/>
      <w:r w:rsidRPr="006D57F9">
        <w:rPr>
          <w:rFonts w:ascii="Arial" w:hAnsi="Arial" w:cs="Arial"/>
          <w:b w:val="0"/>
          <w:sz w:val="24"/>
          <w:szCs w:val="24"/>
        </w:rPr>
        <w:t>a</w:t>
      </w:r>
      <w:proofErr w:type="gramEnd"/>
      <w:r w:rsidRPr="006D57F9">
        <w:rPr>
          <w:rFonts w:ascii="Arial" w:hAnsi="Arial" w:cs="Arial"/>
          <w:b w:val="0"/>
          <w:sz w:val="24"/>
          <w:szCs w:val="24"/>
        </w:rPr>
        <w:t xml:space="preserve"> účinná pro svěřenské fondy.</w:t>
      </w:r>
    </w:p>
    <w:p w:rsidR="008E6297" w:rsidRPr="00C953CD" w:rsidRDefault="008E6297" w:rsidP="008E6297">
      <w:pPr>
        <w:spacing w:before="120" w:after="120" w:line="276" w:lineRule="auto"/>
        <w:jc w:val="both"/>
        <w:rPr>
          <w:rFonts w:ascii="Arial" w:hAnsi="Arial" w:cs="Arial"/>
        </w:rPr>
      </w:pPr>
      <w:r w:rsidRPr="006D57F9">
        <w:rPr>
          <w:rFonts w:ascii="Arial" w:hAnsi="Arial" w:cs="Arial"/>
        </w:rPr>
        <w:t>Konkrétní daňový režim srovnatelných</w:t>
      </w:r>
      <w:r w:rsidRPr="00C953CD">
        <w:rPr>
          <w:rFonts w:ascii="Arial" w:hAnsi="Arial" w:cs="Arial"/>
        </w:rPr>
        <w:t xml:space="preserve"> trustů v zahraničí nemůže mít žádný význam pro aplikaci českých právních předpisů o daních, obdobně jako tomu je u jiných institutů cizího práva, které pro daňové účely posuzujeme tak, že je srovnáváme v základních právních znacích/připodobňujeme je k obdobným právním formám, institutům či nástrojům podle českého práva (obchodní korporace, cenné papíry, obligační vztahy a dal.). Jiné, dodatečné podmínky jsou nadbytečné a bezpředmětné, neboť nejsou významné pro aplikaci českých právních předpisů o daních a ve svém důsledku v přeshraničních vztazích nežádoucím způsobem znevýhodňují trusty, které dodatečné podmínky nesplňují. Tento přístup je tedy rovněž odůvodněn tím, že zákon o daních z příjmů obsahuje ustanovení týkající se svěřenského fondu podle občanského zákoníku, české trustové struktury, která je možno aplikovat, i </w:t>
      </w:r>
      <w:proofErr w:type="gramStart"/>
      <w:r w:rsidRPr="00C953CD">
        <w:rPr>
          <w:rFonts w:ascii="Arial" w:hAnsi="Arial" w:cs="Arial"/>
        </w:rPr>
        <w:t>na</w:t>
      </w:r>
      <w:proofErr w:type="gramEnd"/>
      <w:r w:rsidRPr="00C953CD">
        <w:rPr>
          <w:rFonts w:ascii="Arial" w:hAnsi="Arial" w:cs="Arial"/>
        </w:rPr>
        <w:t xml:space="preserve"> příjmy srovnatelných trustů, resp. příjmy plynoucí z těchto trustů v přeshraničních vztazích, a to právě za podmínky, že jejich základní právní znaky jsou srovnatelné se svěřenským fondem. Otázka, zda lze předmětná ustanovení zákon o daních z příjmů aplikovat </w:t>
      </w:r>
      <w:proofErr w:type="gramStart"/>
      <w:r w:rsidRPr="00C953CD">
        <w:rPr>
          <w:rFonts w:ascii="Arial" w:hAnsi="Arial" w:cs="Arial"/>
        </w:rPr>
        <w:t>na</w:t>
      </w:r>
      <w:proofErr w:type="gramEnd"/>
      <w:r w:rsidRPr="00C953CD">
        <w:rPr>
          <w:rFonts w:ascii="Arial" w:hAnsi="Arial" w:cs="Arial"/>
        </w:rPr>
        <w:t xml:space="preserve"> trusty v případě, že dojde k přemístění daňové rezidence trustu do ČR, je řešena v samostatném příspěvku, který se týká daňové rezidence trustů a svěřenských fondů.</w:t>
      </w:r>
    </w:p>
    <w:p w:rsidR="008E6297" w:rsidRPr="00C953CD" w:rsidRDefault="008E6297" w:rsidP="008E6297">
      <w:pPr>
        <w:pStyle w:val="Nadpis2"/>
        <w:numPr>
          <w:ilvl w:val="1"/>
          <w:numId w:val="42"/>
        </w:numPr>
        <w:jc w:val="both"/>
        <w:rPr>
          <w:sz w:val="24"/>
          <w:szCs w:val="24"/>
        </w:rPr>
      </w:pPr>
      <w:r w:rsidRPr="00C953CD">
        <w:rPr>
          <w:sz w:val="24"/>
          <w:szCs w:val="24"/>
        </w:rPr>
        <w:t>Odůvodnění</w:t>
      </w:r>
    </w:p>
    <w:p w:rsidR="008E6297" w:rsidRPr="00C953CD" w:rsidRDefault="008E6297" w:rsidP="008E6297">
      <w:pPr>
        <w:pStyle w:val="Nadpis2"/>
        <w:spacing w:after="120" w:line="276" w:lineRule="auto"/>
        <w:jc w:val="both"/>
        <w:rPr>
          <w:b w:val="0"/>
          <w:bCs w:val="0"/>
          <w:i w:val="0"/>
          <w:iCs w:val="0"/>
          <w:sz w:val="24"/>
          <w:szCs w:val="24"/>
        </w:rPr>
      </w:pPr>
      <w:r w:rsidRPr="00C953CD">
        <w:rPr>
          <w:b w:val="0"/>
          <w:sz w:val="24"/>
          <w:szCs w:val="24"/>
        </w:rPr>
        <w:t>Zásadním východiskem je, jak navrhovatel daňových právních předpisů, Ministerstvo financí ČR, koncepčně přistupuje k pojmu svěřenský fond. V Důvodové zprávě k zákonnému opatření</w:t>
      </w:r>
      <w:r w:rsidRPr="00C953CD">
        <w:rPr>
          <w:sz w:val="24"/>
          <w:szCs w:val="24"/>
        </w:rPr>
        <w:t xml:space="preserve"> </w:t>
      </w:r>
      <w:r w:rsidRPr="00C953CD">
        <w:rPr>
          <w:b w:val="0"/>
          <w:sz w:val="24"/>
          <w:szCs w:val="24"/>
        </w:rPr>
        <w:t>Senátu č. 340/2013 Sb., o dani z nabytí nemovitých věcí se uvádí: „</w:t>
      </w:r>
      <w:proofErr w:type="gramStart"/>
      <w:r w:rsidRPr="00C953CD">
        <w:rPr>
          <w:b w:val="0"/>
          <w:sz w:val="24"/>
          <w:szCs w:val="24"/>
        </w:rPr>
        <w:t>..</w:t>
      </w:r>
      <w:proofErr w:type="gramEnd"/>
      <w:r w:rsidRPr="00C953CD">
        <w:rPr>
          <w:b w:val="0"/>
          <w:sz w:val="24"/>
          <w:szCs w:val="24"/>
        </w:rPr>
        <w:t xml:space="preserve"> </w:t>
      </w:r>
      <w:proofErr w:type="gramStart"/>
      <w:r w:rsidRPr="00C953CD">
        <w:rPr>
          <w:b w:val="0"/>
          <w:sz w:val="24"/>
          <w:szCs w:val="24"/>
        </w:rPr>
        <w:t>záměrně</w:t>
      </w:r>
      <w:proofErr w:type="gramEnd"/>
      <w:r w:rsidRPr="00C953CD">
        <w:rPr>
          <w:b w:val="0"/>
          <w:sz w:val="24"/>
          <w:szCs w:val="24"/>
        </w:rPr>
        <w:t xml:space="preserve"> použitý pojem „svěřenský fond“ podle koncepce uplatňované v daňových zákonech nezahrnuje pouze svěřenský fond podle nového občanského zákoníku, ale i zahraniční instituty daného typu (např. trusty v zemích common law). Podle zmíněné koncepce platí, že hovoří-li ustanovení daňového zákona o konkrétním institutu, vztahuje se i </w:t>
      </w:r>
      <w:proofErr w:type="gramStart"/>
      <w:r w:rsidRPr="00C953CD">
        <w:rPr>
          <w:b w:val="0"/>
          <w:sz w:val="24"/>
          <w:szCs w:val="24"/>
        </w:rPr>
        <w:t>na</w:t>
      </w:r>
      <w:proofErr w:type="gramEnd"/>
      <w:r w:rsidRPr="00C953CD">
        <w:rPr>
          <w:b w:val="0"/>
          <w:sz w:val="24"/>
          <w:szCs w:val="24"/>
        </w:rPr>
        <w:t xml:space="preserve"> zahraniční instituty obdobného charakteru. V opačném případě, má-li se dané ustanovení týkat pouze institutu českého práva, použije se dovětek odkazující </w:t>
      </w:r>
      <w:proofErr w:type="gramStart"/>
      <w:r w:rsidRPr="00C953CD">
        <w:rPr>
          <w:b w:val="0"/>
          <w:sz w:val="24"/>
          <w:szCs w:val="24"/>
        </w:rPr>
        <w:t>na</w:t>
      </w:r>
      <w:proofErr w:type="gramEnd"/>
      <w:r w:rsidRPr="00C953CD">
        <w:rPr>
          <w:b w:val="0"/>
          <w:sz w:val="24"/>
          <w:szCs w:val="24"/>
        </w:rPr>
        <w:t xml:space="preserve"> příslušný zákon, kterým je daný institut upraven, např. „</w:t>
      </w:r>
      <w:proofErr w:type="gramStart"/>
      <w:r w:rsidRPr="00C953CD">
        <w:rPr>
          <w:b w:val="0"/>
          <w:sz w:val="24"/>
          <w:szCs w:val="24"/>
        </w:rPr>
        <w:t>svěřenský</w:t>
      </w:r>
      <w:proofErr w:type="gramEnd"/>
      <w:r w:rsidRPr="00C953CD">
        <w:rPr>
          <w:b w:val="0"/>
          <w:sz w:val="24"/>
          <w:szCs w:val="24"/>
        </w:rPr>
        <w:t xml:space="preserve"> fond podle občanského zákoníku“. Bez této koncepce by ve všech případech, nejen u svěřenských fondů, musela většina ustanovení daňových předpisů výslovně zmiňovat i instituty zahraničního práva, což by vedlo ke značnému prodloužení textu právního předpisu a tím i k jeho nesrozumitelnosti. I úplatné vyčlenění nebo nabytí nemovité věci do zahraničního institutu, např. </w:t>
      </w:r>
      <w:proofErr w:type="gramStart"/>
      <w:r w:rsidRPr="00C953CD">
        <w:rPr>
          <w:b w:val="0"/>
          <w:sz w:val="24"/>
          <w:szCs w:val="24"/>
        </w:rPr>
        <w:t>trustu</w:t>
      </w:r>
      <w:proofErr w:type="gramEnd"/>
      <w:r w:rsidRPr="00C953CD">
        <w:rPr>
          <w:b w:val="0"/>
          <w:sz w:val="24"/>
          <w:szCs w:val="24"/>
        </w:rPr>
        <w:t xml:space="preserve">, bude tedy předmětem daně, a to nezávisle na tom, zda majetek v tomto institutu je či není podle příslušné zahraniční právní úpravy předmětem vlastnictví. Bude-li majetek v tomto zahraničním institutu, např. </w:t>
      </w:r>
      <w:proofErr w:type="gramStart"/>
      <w:r w:rsidRPr="00C953CD">
        <w:rPr>
          <w:b w:val="0"/>
          <w:sz w:val="24"/>
          <w:szCs w:val="24"/>
        </w:rPr>
        <w:t>trustu</w:t>
      </w:r>
      <w:proofErr w:type="gramEnd"/>
      <w:r w:rsidRPr="00C953CD">
        <w:rPr>
          <w:b w:val="0"/>
          <w:sz w:val="24"/>
          <w:szCs w:val="24"/>
        </w:rPr>
        <w:t xml:space="preserve">, ve vlastnictví tohoto institutu, bude takový institut poplatníkem na základě ustanovení § 1 odst. 1. Půjde-li o zahraniční institut např. </w:t>
      </w:r>
      <w:proofErr w:type="gramStart"/>
      <w:r w:rsidRPr="00C953CD">
        <w:rPr>
          <w:b w:val="0"/>
          <w:sz w:val="24"/>
          <w:szCs w:val="24"/>
        </w:rPr>
        <w:t>trust</w:t>
      </w:r>
      <w:proofErr w:type="gramEnd"/>
      <w:r w:rsidRPr="00C953CD">
        <w:rPr>
          <w:b w:val="0"/>
          <w:sz w:val="24"/>
          <w:szCs w:val="24"/>
        </w:rPr>
        <w:t xml:space="preserve">, obdobný svěřenskému fondu podle občanského zákoníku, tj. </w:t>
      </w:r>
      <w:proofErr w:type="gramStart"/>
      <w:r w:rsidRPr="00C953CD">
        <w:rPr>
          <w:b w:val="0"/>
          <w:sz w:val="24"/>
          <w:szCs w:val="24"/>
        </w:rPr>
        <w:t>o</w:t>
      </w:r>
      <w:proofErr w:type="gramEnd"/>
      <w:r w:rsidRPr="00C953CD">
        <w:rPr>
          <w:b w:val="0"/>
          <w:sz w:val="24"/>
          <w:szCs w:val="24"/>
        </w:rPr>
        <w:t xml:space="preserve"> oddělené a nezávislé vlastnictví obdobně jako je tomu u svěřenského fondu podle § 1448 nového </w:t>
      </w:r>
      <w:r w:rsidRPr="00C953CD">
        <w:rPr>
          <w:b w:val="0"/>
          <w:sz w:val="24"/>
          <w:szCs w:val="24"/>
        </w:rPr>
        <w:lastRenderedPageBreak/>
        <w:t xml:space="preserve">občanského zákoníku, bude takový institut poplatníkem na základě ustanovení § 1 odst. </w:t>
      </w:r>
      <w:proofErr w:type="gramStart"/>
      <w:r w:rsidRPr="00C953CD">
        <w:rPr>
          <w:b w:val="0"/>
          <w:sz w:val="24"/>
          <w:szCs w:val="24"/>
        </w:rPr>
        <w:t>2.“</w:t>
      </w:r>
      <w:proofErr w:type="gramEnd"/>
    </w:p>
    <w:p w:rsidR="008E6297" w:rsidRPr="00C953CD" w:rsidRDefault="008E6297" w:rsidP="008E6297">
      <w:pPr>
        <w:pStyle w:val="Nadpis2"/>
        <w:spacing w:after="120" w:line="276" w:lineRule="auto"/>
        <w:jc w:val="both"/>
        <w:rPr>
          <w:b w:val="0"/>
          <w:sz w:val="24"/>
          <w:szCs w:val="24"/>
        </w:rPr>
      </w:pPr>
      <w:r w:rsidRPr="00C953CD">
        <w:rPr>
          <w:b w:val="0"/>
          <w:sz w:val="24"/>
          <w:szCs w:val="24"/>
        </w:rPr>
        <w:t>Zastáváme tak názor, že je třeba se opřít o zásadu, že pro účely daňových přepisů, stejně jako pro účely jiných právních předpisů, mají být v ČR trusty uznávány jako obdoba svěřenských fondů a podrobeny stejnému daňovému režimu, ledaže příslušný právní předpis výslovně stanoví něco jiného, a to za předpokladu, že představují instituty zahraničního práva obdobné svěřenskému fondu. To znamená, že jejich základní právní znaky jsou srovnatelné se základními právními znaky požadovanými občanským zákoníkem.</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 xml:space="preserve">Výše uvedené lze dále odůvodnit tím, že ačkoliv ČR nepřistoupila k </w:t>
      </w:r>
      <w:bookmarkStart w:id="2" w:name="_Hlk66523434"/>
      <w:r w:rsidRPr="00C953CD">
        <w:rPr>
          <w:rFonts w:ascii="Arial" w:hAnsi="Arial" w:cs="Arial"/>
        </w:rPr>
        <w:t xml:space="preserve">Haagské úmluvě o právu rozhodném pro trust </w:t>
      </w:r>
      <w:proofErr w:type="gramStart"/>
      <w:r w:rsidRPr="00C953CD">
        <w:rPr>
          <w:rFonts w:ascii="Arial" w:hAnsi="Arial" w:cs="Arial"/>
        </w:rPr>
        <w:t>a</w:t>
      </w:r>
      <w:proofErr w:type="gramEnd"/>
      <w:r w:rsidRPr="00C953CD">
        <w:rPr>
          <w:rFonts w:ascii="Arial" w:hAnsi="Arial" w:cs="Arial"/>
        </w:rPr>
        <w:t xml:space="preserve"> o jeho uznání z 1. 7. 1985</w:t>
      </w:r>
      <w:bookmarkEnd w:id="2"/>
      <w:r w:rsidRPr="00C953CD">
        <w:rPr>
          <w:rFonts w:ascii="Arial" w:hAnsi="Arial" w:cs="Arial"/>
        </w:rPr>
        <w:t xml:space="preserve">, přihlásila se k jejím principům </w:t>
      </w:r>
      <w:proofErr w:type="gramStart"/>
      <w:r w:rsidRPr="00C953CD">
        <w:rPr>
          <w:rFonts w:ascii="Arial" w:hAnsi="Arial" w:cs="Arial"/>
        </w:rPr>
        <w:t>a</w:t>
      </w:r>
      <w:proofErr w:type="gramEnd"/>
      <w:r w:rsidRPr="00C953CD">
        <w:rPr>
          <w:rFonts w:ascii="Arial" w:hAnsi="Arial" w:cs="Arial"/>
        </w:rPr>
        <w:t xml:space="preserve"> účelu, a to jak výslovnou právní normou pro uznání trustu v soukromém právu, tak i přístupem k zahraničním trustům, jak je deklarován v důvodové zprávě k zákonu o mezinárodním právu soukromém. U</w:t>
      </w:r>
      <w:r w:rsidRPr="00C953CD">
        <w:rPr>
          <w:rFonts w:ascii="Arial" w:hAnsi="Arial" w:cs="Arial"/>
          <w:color w:val="383838"/>
          <w:shd w:val="clear" w:color="auto" w:fill="FFFFFF"/>
        </w:rPr>
        <w:t>stanovení </w:t>
      </w:r>
      <w:hyperlink r:id="rId12" w:history="1">
        <w:r w:rsidRPr="007E3B66">
          <w:rPr>
            <w:rStyle w:val="Hypertextovodkaz"/>
            <w:rFonts w:ascii="Arial" w:hAnsi="Arial" w:cs="Arial"/>
            <w:b w:val="0"/>
            <w:shd w:val="clear" w:color="auto" w:fill="FFFFFF"/>
          </w:rPr>
          <w:t>§ 73 odst. 4 zákona č. 91/2012 Sb.</w:t>
        </w:r>
      </w:hyperlink>
      <w:r w:rsidRPr="007E3B66">
        <w:rPr>
          <w:rFonts w:ascii="Arial" w:hAnsi="Arial" w:cs="Arial"/>
          <w:b/>
          <w:shd w:val="clear" w:color="auto" w:fill="FFFFFF"/>
        </w:rPr>
        <w:t>,</w:t>
      </w:r>
      <w:r w:rsidRPr="007E3B66">
        <w:rPr>
          <w:rFonts w:ascii="Arial" w:hAnsi="Arial" w:cs="Arial"/>
          <w:shd w:val="clear" w:color="auto" w:fill="FFFFFF"/>
        </w:rPr>
        <w:t xml:space="preserve"> </w:t>
      </w:r>
      <w:r w:rsidRPr="00C953CD">
        <w:rPr>
          <w:rFonts w:ascii="Arial" w:hAnsi="Arial" w:cs="Arial"/>
        </w:rPr>
        <w:t xml:space="preserve">o mezinárodním právu soukromém, ve znění pozdějších předpisů („ZMPS“) obsahuje kolizní normy pro trusty (v ZMPS „fondy“) a stanoví, že fond zřízený v zahraničí se uznává i v oblasti českého práva, vykazuje-li základní právní znaky požadované pro něj českým právem, tj. </w:t>
      </w:r>
      <w:proofErr w:type="gramStart"/>
      <w:r w:rsidRPr="00C953CD">
        <w:rPr>
          <w:rFonts w:ascii="Arial" w:hAnsi="Arial" w:cs="Arial"/>
        </w:rPr>
        <w:t>občanským</w:t>
      </w:r>
      <w:proofErr w:type="gramEnd"/>
      <w:r w:rsidRPr="00C953CD">
        <w:rPr>
          <w:rFonts w:ascii="Arial" w:hAnsi="Arial" w:cs="Arial"/>
        </w:rPr>
        <w:t xml:space="preserve"> zákoníkem. Zákonodárce tak vyjádřil svoji vůli, aby důsledky pro takto kvalifikovaný, srovnatelný zahraniční trust byly v českém právním řádu stejné, jako jsou předvídány pro svěřenský fond zřízený v souladu s příslušnými ustanoveními občanského zákoníku. </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 xml:space="preserve">Podpůrně je dále možno uvést, že v rámci principu jednoty právního řádu, rovného zacházení a úsilí o transparentnost je </w:t>
      </w:r>
      <w:proofErr w:type="gramStart"/>
      <w:r w:rsidRPr="00C953CD">
        <w:rPr>
          <w:rFonts w:ascii="Arial" w:hAnsi="Arial" w:cs="Arial"/>
        </w:rPr>
        <w:t>na</w:t>
      </w:r>
      <w:proofErr w:type="gramEnd"/>
      <w:r w:rsidRPr="00C953CD">
        <w:rPr>
          <w:rFonts w:ascii="Arial" w:hAnsi="Arial" w:cs="Arial"/>
        </w:rPr>
        <w:t xml:space="preserve"> místě vzít v úvahu také zásady a pravidla platná pro zahraniční trusty v nejnovějším právním předpisu, který upravuje evidenci skutečných majitelů</w:t>
      </w:r>
      <w:r w:rsidRPr="00C953CD">
        <w:rPr>
          <w:rStyle w:val="Znakapoznpodarou"/>
          <w:rFonts w:ascii="Arial" w:hAnsi="Arial" w:cs="Arial"/>
        </w:rPr>
        <w:footnoteReference w:id="9"/>
      </w:r>
      <w:r w:rsidRPr="00C953CD">
        <w:rPr>
          <w:rFonts w:ascii="Arial" w:hAnsi="Arial" w:cs="Arial"/>
        </w:rPr>
        <w:t xml:space="preserve">. </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Ustanovení § 2 ZESM vymezuje pojem právní uspořádání jako svěřenský fond nebo zahraniční svěřenský fond. Zahraničním svěřenským fondem se rozumí svěřenský fond nebo jemu strukturou nebo funkcemi podobné zařízení řídící se právem jiného státu. ZSEM těmto jednotkám ukládá stejné povinnosti, a to v rozsahu, v jakém spadají do působnosti českého právního řádu.</w:t>
      </w:r>
      <w:r w:rsidRPr="00C953CD">
        <w:rPr>
          <w:rStyle w:val="Znakapoznpodarou"/>
          <w:rFonts w:ascii="Arial" w:hAnsi="Arial" w:cs="Arial"/>
        </w:rPr>
        <w:footnoteReference w:id="10"/>
      </w:r>
      <w:r w:rsidRPr="00C953CD">
        <w:rPr>
          <w:rFonts w:ascii="Arial" w:hAnsi="Arial" w:cs="Arial"/>
        </w:rPr>
        <w:t xml:space="preserve"> Podle Důvodové zprávy k § 2 ZESM. </w:t>
      </w:r>
      <w:proofErr w:type="gramStart"/>
      <w:r w:rsidRPr="00C953CD">
        <w:rPr>
          <w:rFonts w:ascii="Arial" w:hAnsi="Arial" w:cs="Arial"/>
        </w:rPr>
        <w:t>bude</w:t>
      </w:r>
      <w:proofErr w:type="gramEnd"/>
      <w:r w:rsidRPr="00C953CD">
        <w:rPr>
          <w:rFonts w:ascii="Arial" w:hAnsi="Arial" w:cs="Arial"/>
        </w:rPr>
        <w:t xml:space="preserve"> „</w:t>
      </w:r>
      <w:r w:rsidRPr="00C953CD">
        <w:rPr>
          <w:rFonts w:ascii="Arial" w:hAnsi="Arial" w:cs="Arial"/>
          <w:i/>
          <w:iCs/>
        </w:rPr>
        <w:t xml:space="preserve">vždy klíčové, aby si příslušný svěřenský správce (respektive osoba ve funkci obdobné svěřenskému správci) vyhodnotil, zda spravuje uspořádání, které lze </w:t>
      </w:r>
      <w:r w:rsidRPr="00C953CD">
        <w:rPr>
          <w:rFonts w:ascii="Arial" w:hAnsi="Arial" w:cs="Arial"/>
          <w:i/>
          <w:iCs/>
          <w:u w:val="single"/>
        </w:rPr>
        <w:t>funkčně či strukturně</w:t>
      </w:r>
      <w:r w:rsidRPr="00C953CD">
        <w:rPr>
          <w:rFonts w:ascii="Arial" w:hAnsi="Arial" w:cs="Arial"/>
          <w:i/>
          <w:iCs/>
        </w:rPr>
        <w:t xml:space="preserve"> (organizačně) připodobnit svěřenskému fondu</w:t>
      </w:r>
      <w:r w:rsidRPr="00C953CD">
        <w:rPr>
          <w:rFonts w:ascii="Arial" w:hAnsi="Arial" w:cs="Arial"/>
        </w:rPr>
        <w:t xml:space="preserve">“. Podobností struktury zahraničního uspořádání se svěřenským fondem se rozumí organizace správy, povaha spravovaného majetku a práva a povinnosti osob zapojených v rámci právního uspořádání. Dále z důvodové zprávy vyplývá, že vhledem k tomu, že česká právní </w:t>
      </w:r>
      <w:r w:rsidRPr="00C953CD">
        <w:rPr>
          <w:rFonts w:ascii="Arial" w:hAnsi="Arial" w:cs="Arial"/>
        </w:rPr>
        <w:lastRenderedPageBreak/>
        <w:t>úprava účely a cíle svěřenského fondu neomezuje, bude třeba vycházet z (formálního) posouzení, jak dané právní upořádání funguje a co se jeho zřízením sleduje.</w:t>
      </w:r>
      <w:r w:rsidRPr="00C953CD">
        <w:rPr>
          <w:rStyle w:val="Znakapoznpodarou"/>
          <w:rFonts w:ascii="Arial" w:hAnsi="Arial" w:cs="Arial"/>
        </w:rPr>
        <w:footnoteReference w:id="11"/>
      </w:r>
      <w:r w:rsidRPr="00C953CD">
        <w:rPr>
          <w:rFonts w:ascii="Arial" w:hAnsi="Arial" w:cs="Arial"/>
        </w:rPr>
        <w:t xml:space="preserve">. </w:t>
      </w:r>
    </w:p>
    <w:p w:rsidR="008E6297" w:rsidRPr="00C953CD" w:rsidRDefault="008E6297" w:rsidP="008E6297">
      <w:pPr>
        <w:spacing w:before="120" w:after="120" w:line="276" w:lineRule="auto"/>
        <w:jc w:val="both"/>
        <w:rPr>
          <w:rFonts w:ascii="Arial" w:hAnsi="Arial" w:cs="Arial"/>
        </w:rPr>
      </w:pPr>
      <w:r w:rsidRPr="00C953CD">
        <w:rPr>
          <w:rFonts w:ascii="Arial" w:hAnsi="Arial" w:cs="Arial"/>
        </w:rPr>
        <w:t>Lze shrnout, že v oblasti ZESM se přístup k zahraničním trustům a svěřenským fondům posouvá hlouběji od formálně právních znaků (základních právních znaků) k fungování a struktuře zahraničního trustu, v nichž je třeba hledat a o ně opírat posuzování podobnosti a srovnatelnosti zahraničního trustu se svěřenským fondem.</w:t>
      </w:r>
    </w:p>
    <w:p w:rsidR="008E6297" w:rsidRPr="00C953CD" w:rsidRDefault="008E6297" w:rsidP="008E6297">
      <w:pPr>
        <w:shd w:val="clear" w:color="auto" w:fill="FFFFFF"/>
        <w:spacing w:line="276" w:lineRule="auto"/>
        <w:jc w:val="both"/>
        <w:rPr>
          <w:rFonts w:ascii="Arial" w:hAnsi="Arial" w:cs="Arial"/>
        </w:rPr>
      </w:pPr>
      <w:r w:rsidRPr="00C953CD">
        <w:rPr>
          <w:rFonts w:ascii="Arial" w:hAnsi="Arial" w:cs="Arial"/>
        </w:rPr>
        <w:t xml:space="preserve">S ohledem </w:t>
      </w:r>
      <w:proofErr w:type="gramStart"/>
      <w:r w:rsidRPr="00C953CD">
        <w:rPr>
          <w:rFonts w:ascii="Arial" w:hAnsi="Arial" w:cs="Arial"/>
        </w:rPr>
        <w:t>na</w:t>
      </w:r>
      <w:proofErr w:type="gramEnd"/>
      <w:r w:rsidRPr="00C953CD">
        <w:rPr>
          <w:rFonts w:ascii="Arial" w:hAnsi="Arial" w:cs="Arial"/>
        </w:rPr>
        <w:t xml:space="preserve"> výše uvedené lze podle našeho názoru dospět k závěru, že srovnatelnost základních právních znaků, způsob fungování, struktura vnitřní organizace trustů jsou základem pro jejich srovnatelnost se svěřenským fondem. Bude-li trust v těchto důležitých charakteristikách posouzen jako srovnatelný se svěřenským fondem, měla by pak být ve vztahu k příjmům ze zdrojů </w:t>
      </w:r>
      <w:proofErr w:type="gramStart"/>
      <w:r w:rsidRPr="00C953CD">
        <w:rPr>
          <w:rFonts w:ascii="Arial" w:hAnsi="Arial" w:cs="Arial"/>
        </w:rPr>
        <w:t>na</w:t>
      </w:r>
      <w:proofErr w:type="gramEnd"/>
      <w:r w:rsidRPr="00C953CD">
        <w:rPr>
          <w:rFonts w:ascii="Arial" w:hAnsi="Arial" w:cs="Arial"/>
        </w:rPr>
        <w:t xml:space="preserve"> území ČR a příjmům plynoucím ve prospěch daňových rezidentů ČR aplikována ustanovení zákona o daních z příjmů vztahující se ke svěřenským fondům. </w:t>
      </w:r>
    </w:p>
    <w:p w:rsidR="008E6297" w:rsidRPr="00C953CD" w:rsidRDefault="008E6297" w:rsidP="008E6297">
      <w:pPr>
        <w:shd w:val="clear" w:color="auto" w:fill="FFFFFF"/>
        <w:spacing w:line="276" w:lineRule="auto"/>
        <w:jc w:val="both"/>
        <w:rPr>
          <w:rFonts w:ascii="Arial" w:hAnsi="Arial" w:cs="Arial"/>
        </w:rPr>
      </w:pPr>
    </w:p>
    <w:p w:rsidR="008E6297" w:rsidRPr="00C953CD" w:rsidRDefault="008E6297" w:rsidP="008E6297">
      <w:pPr>
        <w:shd w:val="clear" w:color="auto" w:fill="FFFFFF"/>
        <w:spacing w:line="276" w:lineRule="auto"/>
        <w:jc w:val="both"/>
        <w:rPr>
          <w:rFonts w:ascii="Arial" w:hAnsi="Arial" w:cs="Arial"/>
          <w:color w:val="383838"/>
        </w:rPr>
      </w:pPr>
      <w:r w:rsidRPr="00C953CD">
        <w:rPr>
          <w:rFonts w:ascii="Arial" w:hAnsi="Arial" w:cs="Arial"/>
        </w:rPr>
        <w:t>Pokud by podmínky zdanění příjmů, resp. plnění ve prospěch srovnatelných trustů či ve prospěch obmyšlených byly buď limitující, nebo méně příznivé ve srovnání se zdaněním příjmů a plněním ve prospěch obmyšlených svěřenských fondů, mohlo by dojít k omezení základní svobody usazování a ve vztahu k   členským státům EU, resp. svobody volného pohybu kapitálu vůči třetím státům. Případné omezení svobody volného pohybu kapitálu vůči třetím státům navíc nesmí představovat ani v daňových věcech prostředek svévolné diskriminace, ani zastřené omezování volného pohybu kapitálu a plateb</w:t>
      </w:r>
      <w:r w:rsidRPr="00C953CD">
        <w:rPr>
          <w:rStyle w:val="Znakapoznpodarou"/>
          <w:rFonts w:ascii="Arial" w:hAnsi="Arial" w:cs="Arial"/>
        </w:rPr>
        <w:footnoteReference w:id="12"/>
      </w:r>
      <w:r w:rsidRPr="00C953CD">
        <w:rPr>
          <w:rFonts w:ascii="Arial" w:hAnsi="Arial" w:cs="Arial"/>
          <w:color w:val="383838"/>
        </w:rPr>
        <w:t>.</w:t>
      </w:r>
    </w:p>
    <w:p w:rsidR="008E6297" w:rsidRPr="00C953CD" w:rsidRDefault="008E6297" w:rsidP="008E6297">
      <w:pPr>
        <w:pStyle w:val="Nadpis2"/>
        <w:numPr>
          <w:ilvl w:val="1"/>
          <w:numId w:val="42"/>
        </w:numPr>
        <w:jc w:val="both"/>
        <w:rPr>
          <w:sz w:val="24"/>
          <w:szCs w:val="24"/>
        </w:rPr>
      </w:pPr>
      <w:r w:rsidRPr="00C953CD">
        <w:rPr>
          <w:sz w:val="24"/>
          <w:szCs w:val="24"/>
        </w:rPr>
        <w:t xml:space="preserve">Závěr </w:t>
      </w:r>
    </w:p>
    <w:p w:rsidR="008E6297" w:rsidRPr="006D57F9" w:rsidRDefault="008E6297" w:rsidP="008E6297">
      <w:pPr>
        <w:pStyle w:val="Nadpis3"/>
        <w:spacing w:line="276" w:lineRule="auto"/>
        <w:jc w:val="both"/>
        <w:rPr>
          <w:rFonts w:ascii="Arial" w:hAnsi="Arial" w:cs="Arial"/>
          <w:b w:val="0"/>
          <w:sz w:val="24"/>
          <w:szCs w:val="24"/>
        </w:rPr>
      </w:pPr>
      <w:r w:rsidRPr="006D57F9">
        <w:rPr>
          <w:rFonts w:ascii="Arial" w:hAnsi="Arial" w:cs="Arial"/>
          <w:b w:val="0"/>
          <w:sz w:val="24"/>
          <w:szCs w:val="24"/>
        </w:rPr>
        <w:t xml:space="preserve">Na trusty, které byly zřízeny podle zahraničního práva a jejichž základní právní znaky odpovídají základním právním znakům, fungování a struktuře požadovaným pro svěřenské fondy občanským zákoníkem, se použijí příslušná ustanovení ZDP platná </w:t>
      </w:r>
      <w:proofErr w:type="gramStart"/>
      <w:r w:rsidRPr="006D57F9">
        <w:rPr>
          <w:rFonts w:ascii="Arial" w:hAnsi="Arial" w:cs="Arial"/>
          <w:b w:val="0"/>
          <w:sz w:val="24"/>
          <w:szCs w:val="24"/>
        </w:rPr>
        <w:t>a</w:t>
      </w:r>
      <w:proofErr w:type="gramEnd"/>
      <w:r w:rsidRPr="006D57F9">
        <w:rPr>
          <w:rFonts w:ascii="Arial" w:hAnsi="Arial" w:cs="Arial"/>
          <w:b w:val="0"/>
          <w:sz w:val="24"/>
          <w:szCs w:val="24"/>
        </w:rPr>
        <w:t xml:space="preserve"> účinná pro svěřenské fondy. Prokázání příslušných právních skutečností je vždy </w:t>
      </w:r>
      <w:proofErr w:type="gramStart"/>
      <w:r w:rsidRPr="006D57F9">
        <w:rPr>
          <w:rFonts w:ascii="Arial" w:hAnsi="Arial" w:cs="Arial"/>
          <w:b w:val="0"/>
          <w:sz w:val="24"/>
          <w:szCs w:val="24"/>
        </w:rPr>
        <w:t>na</w:t>
      </w:r>
      <w:proofErr w:type="gramEnd"/>
      <w:r w:rsidRPr="006D57F9">
        <w:rPr>
          <w:rFonts w:ascii="Arial" w:hAnsi="Arial" w:cs="Arial"/>
          <w:b w:val="0"/>
          <w:sz w:val="24"/>
          <w:szCs w:val="24"/>
        </w:rPr>
        <w:t xml:space="preserve"> poplatníkovi.</w:t>
      </w:r>
    </w:p>
    <w:p w:rsidR="008E6297" w:rsidRPr="00C953CD" w:rsidRDefault="008E6297" w:rsidP="008E6297">
      <w:pPr>
        <w:autoSpaceDE w:val="0"/>
        <w:autoSpaceDN w:val="0"/>
        <w:adjustRightInd w:val="0"/>
        <w:spacing w:before="240" w:line="276" w:lineRule="auto"/>
        <w:jc w:val="both"/>
        <w:rPr>
          <w:rFonts w:ascii="Arial" w:hAnsi="Arial" w:cs="Arial"/>
        </w:rPr>
      </w:pPr>
      <w:bookmarkStart w:id="3" w:name="lema0"/>
      <w:bookmarkStart w:id="4" w:name="lema1"/>
      <w:bookmarkStart w:id="5" w:name="_Hlk81234341"/>
      <w:bookmarkEnd w:id="3"/>
      <w:bookmarkEnd w:id="4"/>
      <w:r w:rsidRPr="00C953CD">
        <w:rPr>
          <w:rFonts w:ascii="Arial" w:hAnsi="Arial" w:cs="Arial"/>
        </w:rPr>
        <w:t>Navrhujeme přijmout výše uvedený závěr a vhodným způsobem jej publikovat.</w:t>
      </w:r>
      <w:bookmarkEnd w:id="5"/>
    </w:p>
    <w:p w:rsidR="008E6297" w:rsidRDefault="008E6297" w:rsidP="008E6297">
      <w:pPr>
        <w:jc w:val="both"/>
        <w:rPr>
          <w:rFonts w:ascii="Arial" w:hAnsi="Arial" w:cs="Arial"/>
          <w:b/>
          <w:color w:val="000000"/>
          <w:u w:val="single"/>
          <w:shd w:val="clear" w:color="auto" w:fill="FFFFFF"/>
          <w:lang w:val="cs-CZ" w:eastAsia="cs-CZ"/>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BF3F76" w:rsidRDefault="00BF3F76" w:rsidP="002844F3">
      <w:pPr>
        <w:pStyle w:val="Zkladntext"/>
        <w:spacing w:after="0" w:line="276" w:lineRule="auto"/>
        <w:jc w:val="center"/>
        <w:rPr>
          <w:rFonts w:ascii="Arial" w:hAnsi="Arial" w:cs="Arial"/>
          <w:b/>
          <w:color w:val="000000"/>
          <w:u w:val="single"/>
          <w:shd w:val="clear" w:color="auto" w:fill="FFFFFF"/>
        </w:rPr>
      </w:pPr>
    </w:p>
    <w:p w:rsidR="00386562" w:rsidRPr="004156A6" w:rsidRDefault="00386562" w:rsidP="00386562">
      <w:pPr>
        <w:jc w:val="center"/>
        <w:rPr>
          <w:rFonts w:ascii="Arial" w:hAnsi="Arial" w:cs="Arial"/>
          <w:b/>
          <w:color w:val="000000"/>
          <w:u w:val="single"/>
          <w:shd w:val="clear" w:color="auto" w:fill="FFFFFF"/>
          <w:lang w:val="cs-CZ" w:eastAsia="cs-CZ"/>
        </w:rPr>
      </w:pPr>
      <w:r w:rsidRPr="004156A6">
        <w:rPr>
          <w:rFonts w:ascii="Arial" w:hAnsi="Arial" w:cs="Arial"/>
          <w:b/>
          <w:sz w:val="32"/>
          <w:szCs w:val="32"/>
          <w:highlight w:val="yellow"/>
          <w:u w:val="single"/>
          <w:lang w:val="cs-CZ" w:eastAsia="cs-CZ"/>
        </w:rPr>
        <w:lastRenderedPageBreak/>
        <w:t>PŘÍSPĚVEK</w:t>
      </w:r>
      <w:r w:rsidRPr="004156A6">
        <w:rPr>
          <w:rFonts w:ascii="Arial" w:hAnsi="Arial" w:cs="Arial"/>
          <w:b/>
          <w:sz w:val="30"/>
          <w:szCs w:val="30"/>
          <w:highlight w:val="yellow"/>
          <w:u w:val="single"/>
          <w:lang w:val="cs-CZ" w:eastAsia="cs-CZ"/>
        </w:rPr>
        <w:t xml:space="preserve"> UZAVŘEN </w:t>
      </w:r>
      <w:r>
        <w:rPr>
          <w:rFonts w:ascii="Arial" w:hAnsi="Arial" w:cs="Arial"/>
          <w:b/>
          <w:sz w:val="30"/>
          <w:szCs w:val="30"/>
          <w:highlight w:val="yellow"/>
          <w:u w:val="single"/>
          <w:lang w:val="cs-CZ" w:eastAsia="cs-CZ"/>
        </w:rPr>
        <w:t>BEZ ROZPORU</w:t>
      </w:r>
      <w:r w:rsidRPr="004156A6">
        <w:rPr>
          <w:rFonts w:ascii="Arial" w:hAnsi="Arial" w:cs="Arial"/>
          <w:b/>
          <w:sz w:val="30"/>
          <w:szCs w:val="30"/>
          <w:highlight w:val="yellow"/>
          <w:u w:val="single"/>
          <w:lang w:val="cs-CZ" w:eastAsia="cs-CZ"/>
        </w:rPr>
        <w:t xml:space="preserve"> KE DNI </w:t>
      </w:r>
      <w:proofErr w:type="gramStart"/>
      <w:r>
        <w:rPr>
          <w:rFonts w:ascii="Arial" w:hAnsi="Arial" w:cs="Arial"/>
          <w:b/>
          <w:sz w:val="30"/>
          <w:szCs w:val="30"/>
          <w:highlight w:val="yellow"/>
          <w:u w:val="single"/>
          <w:lang w:val="cs-CZ" w:eastAsia="cs-CZ"/>
        </w:rPr>
        <w:t>24.11.</w:t>
      </w:r>
      <w:r w:rsidRPr="004156A6">
        <w:rPr>
          <w:rFonts w:ascii="Arial" w:hAnsi="Arial" w:cs="Arial"/>
          <w:b/>
          <w:sz w:val="30"/>
          <w:szCs w:val="30"/>
          <w:highlight w:val="yellow"/>
          <w:u w:val="single"/>
          <w:lang w:val="cs-CZ" w:eastAsia="cs-CZ"/>
        </w:rPr>
        <w:t>2021</w:t>
      </w:r>
      <w:proofErr w:type="gramEnd"/>
    </w:p>
    <w:p w:rsidR="002844F3" w:rsidRDefault="002844F3" w:rsidP="002844F3">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2844F3" w:rsidRDefault="002844F3" w:rsidP="002844F3">
      <w:pPr>
        <w:spacing w:line="276" w:lineRule="auto"/>
        <w:rPr>
          <w:rFonts w:ascii="Arial" w:hAnsi="Arial" w:cs="Arial"/>
          <w:b/>
          <w:color w:val="000000"/>
          <w:u w:val="single"/>
          <w:shd w:val="clear" w:color="auto" w:fill="FFFFFF"/>
        </w:rPr>
      </w:pPr>
    </w:p>
    <w:p w:rsidR="00C63718" w:rsidRPr="00581A79" w:rsidRDefault="00C63718" w:rsidP="00C63718">
      <w:pPr>
        <w:spacing w:line="276" w:lineRule="auto"/>
        <w:rPr>
          <w:rFonts w:ascii="Arial" w:hAnsi="Arial" w:cs="Arial"/>
          <w:b/>
          <w:color w:val="000000"/>
          <w:shd w:val="clear" w:color="auto" w:fill="FFFFFF"/>
          <w:lang w:val="cs-CZ"/>
        </w:rPr>
      </w:pPr>
      <w:r w:rsidRPr="00581A79">
        <w:rPr>
          <w:rFonts w:ascii="Arial" w:hAnsi="Arial" w:cs="Arial"/>
          <w:b/>
          <w:color w:val="000000"/>
          <w:shd w:val="clear" w:color="auto" w:fill="FFFFFF"/>
          <w:lang w:val="cs-CZ"/>
        </w:rPr>
        <w:t xml:space="preserve">589/24.11.21 Uplatnění DPH při zřízení práva stavby </w:t>
      </w:r>
    </w:p>
    <w:p w:rsidR="00C63718" w:rsidRPr="00581A79" w:rsidRDefault="00C63718" w:rsidP="00C63718">
      <w:pPr>
        <w:spacing w:line="276" w:lineRule="auto"/>
        <w:rPr>
          <w:rFonts w:ascii="Arial" w:hAnsi="Arial" w:cs="Arial"/>
          <w:color w:val="000000"/>
          <w:shd w:val="clear" w:color="auto" w:fill="FFFFFF"/>
          <w:lang w:val="cs-CZ"/>
        </w:rPr>
      </w:pPr>
    </w:p>
    <w:p w:rsidR="00C63718" w:rsidRPr="00581A79" w:rsidRDefault="00C63718" w:rsidP="00C63718">
      <w:pPr>
        <w:spacing w:line="276" w:lineRule="auto"/>
        <w:rPr>
          <w:rFonts w:ascii="Arial" w:hAnsi="Arial" w:cs="Arial"/>
          <w:color w:val="000000"/>
          <w:shd w:val="clear" w:color="auto" w:fill="FFFFFF"/>
          <w:lang w:val="cs-CZ"/>
        </w:rPr>
      </w:pPr>
      <w:r w:rsidRPr="00581A79">
        <w:rPr>
          <w:rFonts w:ascii="Arial" w:hAnsi="Arial" w:cs="Arial"/>
          <w:color w:val="000000"/>
          <w:shd w:val="clear" w:color="auto" w:fill="FFFFFF"/>
          <w:lang w:val="cs-CZ"/>
        </w:rPr>
        <w:t xml:space="preserve">Předkládají: </w:t>
      </w:r>
      <w:r w:rsidRPr="00581A79">
        <w:rPr>
          <w:rFonts w:ascii="Arial" w:hAnsi="Arial" w:cs="Arial"/>
          <w:color w:val="000000"/>
          <w:shd w:val="clear" w:color="auto" w:fill="FFFFFF"/>
          <w:lang w:val="cs-CZ"/>
        </w:rPr>
        <w:tab/>
        <w:t>Ing. Stanislav Pokorný, daňový poradce, č. osv. 4664</w:t>
      </w:r>
    </w:p>
    <w:p w:rsidR="00C63718" w:rsidRPr="00581A79" w:rsidRDefault="00C63718" w:rsidP="00C63718">
      <w:pPr>
        <w:spacing w:line="276" w:lineRule="auto"/>
        <w:ind w:left="708" w:firstLine="708"/>
        <w:rPr>
          <w:rFonts w:ascii="Arial" w:hAnsi="Arial" w:cs="Arial"/>
          <w:color w:val="000000"/>
          <w:shd w:val="clear" w:color="auto" w:fill="FFFFFF"/>
          <w:lang w:val="cs-CZ"/>
        </w:rPr>
      </w:pPr>
      <w:r w:rsidRPr="00581A79">
        <w:rPr>
          <w:rFonts w:ascii="Arial" w:hAnsi="Arial" w:cs="Arial"/>
          <w:color w:val="000000"/>
          <w:shd w:val="clear" w:color="auto" w:fill="FFFFFF"/>
          <w:lang w:val="cs-CZ"/>
        </w:rPr>
        <w:t>Ing. Jevgenija Bajzíková, daňový poradce, č. osv. 5063</w:t>
      </w:r>
    </w:p>
    <w:p w:rsidR="00C63718" w:rsidRDefault="00C63718" w:rsidP="00C63718">
      <w:pPr>
        <w:pStyle w:val="Zkladntext"/>
        <w:spacing w:after="0" w:line="276" w:lineRule="auto"/>
        <w:rPr>
          <w:rFonts w:ascii="Arial" w:hAnsi="Arial" w:cs="Arial"/>
          <w:b/>
          <w:color w:val="000000"/>
          <w:shd w:val="clear" w:color="auto" w:fill="FFFFFF"/>
        </w:rPr>
      </w:pPr>
    </w:p>
    <w:p w:rsidR="00C63718" w:rsidRDefault="00C63718" w:rsidP="00C63718">
      <w:pPr>
        <w:jc w:val="both"/>
        <w:rPr>
          <w:rFonts w:ascii="Arial" w:hAnsi="Arial" w:cs="Arial"/>
          <w:b/>
          <w:bCs/>
        </w:rPr>
      </w:pPr>
      <w:r w:rsidRPr="00F10146">
        <w:rPr>
          <w:rFonts w:ascii="Arial" w:hAnsi="Arial" w:cs="Arial"/>
          <w:b/>
          <w:bCs/>
        </w:rPr>
        <w:t>1.</w:t>
      </w:r>
      <w:r>
        <w:rPr>
          <w:rFonts w:ascii="Arial" w:hAnsi="Arial" w:cs="Arial"/>
          <w:b/>
          <w:bCs/>
        </w:rPr>
        <w:t xml:space="preserve"> </w:t>
      </w:r>
      <w:r w:rsidRPr="00F10146">
        <w:rPr>
          <w:rFonts w:ascii="Arial" w:hAnsi="Arial" w:cs="Arial"/>
          <w:b/>
          <w:bCs/>
        </w:rPr>
        <w:t>Cíl příspěvku</w:t>
      </w:r>
    </w:p>
    <w:p w:rsidR="00C63718" w:rsidRPr="00F10146" w:rsidRDefault="00C63718" w:rsidP="00C63718">
      <w:pPr>
        <w:jc w:val="both"/>
        <w:rPr>
          <w:rFonts w:ascii="Arial" w:hAnsi="Arial" w:cs="Arial"/>
          <w:b/>
          <w:bCs/>
        </w:rPr>
      </w:pPr>
    </w:p>
    <w:p w:rsidR="00C63718" w:rsidRDefault="00C63718" w:rsidP="00C63718">
      <w:pPr>
        <w:jc w:val="both"/>
        <w:rPr>
          <w:rFonts w:ascii="Arial" w:hAnsi="Arial" w:cs="Arial"/>
          <w:bCs/>
          <w:color w:val="000000" w:themeColor="text1"/>
          <w:lang w:eastAsia="cs-CZ"/>
        </w:rPr>
      </w:pPr>
      <w:r w:rsidRPr="00D5526B">
        <w:rPr>
          <w:rFonts w:ascii="Arial" w:hAnsi="Arial" w:cs="Arial"/>
        </w:rPr>
        <w:t xml:space="preserve">Cílem tohoto příspěvku je vyjasnění způsobu </w:t>
      </w:r>
      <w:r w:rsidRPr="00D5526B">
        <w:rPr>
          <w:rFonts w:ascii="Arial" w:hAnsi="Arial" w:cs="Arial"/>
          <w:bCs/>
          <w:color w:val="000000" w:themeColor="text1"/>
          <w:lang w:eastAsia="cs-CZ"/>
        </w:rPr>
        <w:t xml:space="preserve">uplatnění DPH u stavebních platů, které jsou placeny stavebníkem vlastníkovi nemovitosti jako úplata za zřízení práva stavby. Tento příspěvek neřeší způsob zdanění DPH u zřízení práva stavby, za které se smluvní strany ujednaly jednorázovou úplatu. </w:t>
      </w:r>
    </w:p>
    <w:p w:rsidR="00C63718" w:rsidRPr="00D5526B" w:rsidRDefault="00C63718" w:rsidP="00C63718">
      <w:pPr>
        <w:jc w:val="both"/>
        <w:rPr>
          <w:rFonts w:ascii="Arial" w:hAnsi="Arial" w:cs="Arial"/>
          <w:bCs/>
          <w:color w:val="000000" w:themeColor="text1"/>
          <w:lang w:eastAsia="cs-CZ"/>
        </w:rPr>
      </w:pPr>
    </w:p>
    <w:p w:rsidR="00C63718" w:rsidRPr="00D5526B" w:rsidRDefault="00C63718" w:rsidP="00C63718">
      <w:pPr>
        <w:jc w:val="both"/>
        <w:rPr>
          <w:rFonts w:ascii="Arial" w:hAnsi="Arial" w:cs="Arial"/>
          <w:bCs/>
          <w:color w:val="000000" w:themeColor="text1"/>
          <w:lang w:eastAsia="cs-CZ"/>
        </w:rPr>
      </w:pPr>
      <w:r w:rsidRPr="00D5526B">
        <w:rPr>
          <w:rFonts w:ascii="Arial" w:hAnsi="Arial" w:cs="Arial"/>
          <w:bCs/>
          <w:color w:val="000000" w:themeColor="text1"/>
          <w:lang w:eastAsia="cs-CZ"/>
        </w:rPr>
        <w:t xml:space="preserve">Tento příspěvek navazuje </w:t>
      </w:r>
      <w:proofErr w:type="gramStart"/>
      <w:r w:rsidRPr="00D5526B">
        <w:rPr>
          <w:rFonts w:ascii="Arial" w:hAnsi="Arial" w:cs="Arial"/>
          <w:bCs/>
          <w:color w:val="000000" w:themeColor="text1"/>
          <w:lang w:eastAsia="cs-CZ"/>
        </w:rPr>
        <w:t>na</w:t>
      </w:r>
      <w:proofErr w:type="gramEnd"/>
      <w:r w:rsidRPr="00D5526B">
        <w:rPr>
          <w:rFonts w:ascii="Arial" w:hAnsi="Arial" w:cs="Arial"/>
          <w:bCs/>
          <w:color w:val="000000" w:themeColor="text1"/>
          <w:lang w:eastAsia="cs-CZ"/>
        </w:rPr>
        <w:t xml:space="preserve"> příspěvek Koordinačního výboru KDPČR 412/13.11.13 K § 56 a 56a zákona o DPH ve znění účinném od 1. </w:t>
      </w:r>
      <w:proofErr w:type="gramStart"/>
      <w:r w:rsidRPr="00D5526B">
        <w:rPr>
          <w:rFonts w:ascii="Arial" w:hAnsi="Arial" w:cs="Arial"/>
          <w:bCs/>
          <w:color w:val="000000" w:themeColor="text1"/>
          <w:lang w:eastAsia="cs-CZ"/>
        </w:rPr>
        <w:t>ledna</w:t>
      </w:r>
      <w:proofErr w:type="gramEnd"/>
      <w:r w:rsidRPr="00D5526B">
        <w:rPr>
          <w:rFonts w:ascii="Arial" w:hAnsi="Arial" w:cs="Arial"/>
          <w:bCs/>
          <w:color w:val="000000" w:themeColor="text1"/>
          <w:lang w:eastAsia="cs-CZ"/>
        </w:rPr>
        <w:t xml:space="preserve"> 2014, předkladatelé Ing. Stanislav Kryl </w:t>
      </w:r>
      <w:proofErr w:type="gramStart"/>
      <w:r w:rsidRPr="00D5526B">
        <w:rPr>
          <w:rFonts w:ascii="Arial" w:hAnsi="Arial" w:cs="Arial"/>
          <w:bCs/>
          <w:color w:val="000000" w:themeColor="text1"/>
          <w:lang w:eastAsia="cs-CZ"/>
        </w:rPr>
        <w:t>a</w:t>
      </w:r>
      <w:proofErr w:type="gramEnd"/>
      <w:r w:rsidRPr="00D5526B">
        <w:rPr>
          <w:rFonts w:ascii="Arial" w:hAnsi="Arial" w:cs="Arial"/>
          <w:bCs/>
          <w:color w:val="000000" w:themeColor="text1"/>
          <w:lang w:eastAsia="cs-CZ"/>
        </w:rPr>
        <w:t xml:space="preserve"> Ing. Jan Rambousek. Generální finanční ředitelství ve svém stanovisku nepotvrdilo možnost postupného zdaňování stavební platů prostřednictvím ujednání dílčích plnění ve smlouvě. V praxi tak nastává nejistota ohledně níže uvedených skutečnosti:</w:t>
      </w:r>
    </w:p>
    <w:p w:rsidR="00C63718" w:rsidRPr="00D5526B" w:rsidRDefault="00C63718" w:rsidP="00C63718">
      <w:pPr>
        <w:pStyle w:val="Odstavecseseznamem"/>
        <w:numPr>
          <w:ilvl w:val="0"/>
          <w:numId w:val="50"/>
        </w:numPr>
        <w:spacing w:after="160" w:line="259" w:lineRule="auto"/>
        <w:contextualSpacing/>
        <w:jc w:val="both"/>
        <w:rPr>
          <w:rFonts w:ascii="Arial" w:hAnsi="Arial" w:cs="Arial"/>
          <w:bCs/>
          <w:color w:val="000000" w:themeColor="text1"/>
          <w:sz w:val="24"/>
          <w:szCs w:val="24"/>
          <w:lang w:eastAsia="cs-CZ"/>
        </w:rPr>
      </w:pPr>
      <w:r w:rsidRPr="00D5526B">
        <w:rPr>
          <w:rFonts w:ascii="Arial" w:hAnsi="Arial" w:cs="Arial"/>
          <w:bCs/>
          <w:color w:val="000000" w:themeColor="text1"/>
          <w:sz w:val="24"/>
          <w:szCs w:val="24"/>
          <w:lang w:eastAsia="cs-CZ"/>
        </w:rPr>
        <w:t xml:space="preserve">Zda zřízení práva stavby je nutné zdanit jednorázově </w:t>
      </w:r>
      <w:proofErr w:type="gramStart"/>
      <w:r w:rsidRPr="00D5526B">
        <w:rPr>
          <w:rFonts w:ascii="Arial" w:hAnsi="Arial" w:cs="Arial"/>
          <w:bCs/>
          <w:color w:val="000000" w:themeColor="text1"/>
          <w:sz w:val="24"/>
          <w:szCs w:val="24"/>
          <w:lang w:eastAsia="cs-CZ"/>
        </w:rPr>
        <w:t>na</w:t>
      </w:r>
      <w:proofErr w:type="gramEnd"/>
      <w:r w:rsidRPr="00D5526B">
        <w:rPr>
          <w:rFonts w:ascii="Arial" w:hAnsi="Arial" w:cs="Arial"/>
          <w:bCs/>
          <w:color w:val="000000" w:themeColor="text1"/>
          <w:sz w:val="24"/>
          <w:szCs w:val="24"/>
          <w:lang w:eastAsia="cs-CZ"/>
        </w:rPr>
        <w:t xml:space="preserve"> začátku ze sumy všech stavebních platů, nebo jej lze zdaňovat průběžně s každým stavebním platem. </w:t>
      </w:r>
    </w:p>
    <w:p w:rsidR="00C63718" w:rsidRPr="00D5526B" w:rsidRDefault="00C63718" w:rsidP="00C63718">
      <w:pPr>
        <w:pStyle w:val="Odstavecseseznamem"/>
        <w:numPr>
          <w:ilvl w:val="0"/>
          <w:numId w:val="50"/>
        </w:numPr>
        <w:spacing w:after="160" w:line="259" w:lineRule="auto"/>
        <w:contextualSpacing/>
        <w:jc w:val="both"/>
        <w:rPr>
          <w:rFonts w:ascii="Arial" w:hAnsi="Arial" w:cs="Arial"/>
          <w:bCs/>
          <w:color w:val="000000" w:themeColor="text1"/>
          <w:sz w:val="24"/>
          <w:szCs w:val="24"/>
          <w:lang w:eastAsia="cs-CZ"/>
        </w:rPr>
      </w:pPr>
      <w:r w:rsidRPr="00D5526B">
        <w:rPr>
          <w:rFonts w:ascii="Arial" w:hAnsi="Arial" w:cs="Arial"/>
          <w:bCs/>
          <w:color w:val="000000" w:themeColor="text1"/>
          <w:sz w:val="24"/>
          <w:szCs w:val="24"/>
          <w:lang w:eastAsia="cs-CZ"/>
        </w:rPr>
        <w:t xml:space="preserve">Zda v případě postupného zdanění formou dílčích plnění se způsob zdanění DPH v čase mění v závislosti </w:t>
      </w:r>
      <w:proofErr w:type="gramStart"/>
      <w:r w:rsidRPr="00D5526B">
        <w:rPr>
          <w:rFonts w:ascii="Arial" w:hAnsi="Arial" w:cs="Arial"/>
          <w:bCs/>
          <w:color w:val="000000" w:themeColor="text1"/>
          <w:sz w:val="24"/>
          <w:szCs w:val="24"/>
          <w:lang w:eastAsia="cs-CZ"/>
        </w:rPr>
        <w:t>na</w:t>
      </w:r>
      <w:proofErr w:type="gramEnd"/>
      <w:r w:rsidRPr="00D5526B">
        <w:rPr>
          <w:rFonts w:ascii="Arial" w:hAnsi="Arial" w:cs="Arial"/>
          <w:bCs/>
          <w:color w:val="000000" w:themeColor="text1"/>
          <w:sz w:val="24"/>
          <w:szCs w:val="24"/>
          <w:lang w:eastAsia="cs-CZ"/>
        </w:rPr>
        <w:t xml:space="preserve"> charakteru a stáří budoucí stavby. </w:t>
      </w:r>
    </w:p>
    <w:p w:rsidR="00C63718" w:rsidRPr="00D5526B" w:rsidRDefault="00C63718" w:rsidP="00C63718">
      <w:pPr>
        <w:pStyle w:val="Odstavecseseznamem"/>
        <w:numPr>
          <w:ilvl w:val="0"/>
          <w:numId w:val="50"/>
        </w:numPr>
        <w:spacing w:after="160" w:line="259" w:lineRule="auto"/>
        <w:contextualSpacing/>
        <w:jc w:val="both"/>
        <w:rPr>
          <w:rFonts w:ascii="Arial" w:hAnsi="Arial" w:cs="Arial"/>
          <w:bCs/>
          <w:color w:val="000000" w:themeColor="text1"/>
          <w:sz w:val="24"/>
          <w:szCs w:val="24"/>
          <w:lang w:eastAsia="cs-CZ"/>
        </w:rPr>
      </w:pPr>
      <w:r w:rsidRPr="00D5526B">
        <w:rPr>
          <w:rFonts w:ascii="Arial" w:hAnsi="Arial" w:cs="Arial"/>
          <w:bCs/>
          <w:color w:val="000000" w:themeColor="text1"/>
          <w:sz w:val="24"/>
          <w:szCs w:val="24"/>
          <w:lang w:eastAsia="cs-CZ"/>
        </w:rPr>
        <w:t xml:space="preserve">Pokud by zdanění formou dílčích plnění nebylo možné, jak ke dni předání pozemku do užívání stanovit základ </w:t>
      </w:r>
      <w:proofErr w:type="gramStart"/>
      <w:r w:rsidRPr="00D5526B">
        <w:rPr>
          <w:rFonts w:ascii="Arial" w:hAnsi="Arial" w:cs="Arial"/>
          <w:bCs/>
          <w:color w:val="000000" w:themeColor="text1"/>
          <w:sz w:val="24"/>
          <w:szCs w:val="24"/>
          <w:lang w:eastAsia="cs-CZ"/>
        </w:rPr>
        <w:t>daně</w:t>
      </w:r>
      <w:proofErr w:type="gramEnd"/>
      <w:r w:rsidRPr="00D5526B">
        <w:rPr>
          <w:rFonts w:ascii="Arial" w:hAnsi="Arial" w:cs="Arial"/>
          <w:bCs/>
          <w:color w:val="000000" w:themeColor="text1"/>
          <w:sz w:val="24"/>
          <w:szCs w:val="24"/>
          <w:lang w:eastAsia="cs-CZ"/>
        </w:rPr>
        <w:t xml:space="preserve"> v případech, kdy výše stavebních platů není dopředu známa (je proměnlivá), případně zda je možné opravit po 3 letech základ daně.</w:t>
      </w:r>
    </w:p>
    <w:p w:rsidR="00C63718" w:rsidRPr="00D5526B" w:rsidRDefault="00C63718" w:rsidP="00C63718">
      <w:pPr>
        <w:pStyle w:val="Odstavecseseznamem"/>
        <w:numPr>
          <w:ilvl w:val="0"/>
          <w:numId w:val="50"/>
        </w:numPr>
        <w:spacing w:after="160" w:line="259" w:lineRule="auto"/>
        <w:contextualSpacing/>
        <w:jc w:val="both"/>
        <w:rPr>
          <w:rFonts w:ascii="Arial" w:hAnsi="Arial" w:cs="Arial"/>
          <w:bCs/>
          <w:color w:val="000000" w:themeColor="text1"/>
          <w:sz w:val="24"/>
          <w:szCs w:val="24"/>
          <w:lang w:eastAsia="cs-CZ"/>
        </w:rPr>
      </w:pPr>
      <w:r w:rsidRPr="00D5526B">
        <w:rPr>
          <w:rFonts w:ascii="Arial" w:hAnsi="Arial" w:cs="Arial"/>
          <w:bCs/>
          <w:color w:val="000000" w:themeColor="text1"/>
          <w:sz w:val="24"/>
          <w:szCs w:val="24"/>
          <w:lang w:eastAsia="cs-CZ"/>
        </w:rPr>
        <w:t>Pokud právo stavby zřizuje neplátce, v jakém okamžiku vstupují stavební platy do obratu pro povinnou registraci plátce DPH.</w:t>
      </w:r>
    </w:p>
    <w:p w:rsidR="00C63718" w:rsidRPr="00D5526B" w:rsidRDefault="00C63718" w:rsidP="00C63718">
      <w:pPr>
        <w:pStyle w:val="Odstavecseseznamem"/>
        <w:numPr>
          <w:ilvl w:val="0"/>
          <w:numId w:val="50"/>
        </w:numPr>
        <w:spacing w:after="160" w:line="259" w:lineRule="auto"/>
        <w:contextualSpacing/>
        <w:jc w:val="both"/>
        <w:rPr>
          <w:rFonts w:ascii="Arial" w:hAnsi="Arial" w:cs="Arial"/>
          <w:bCs/>
          <w:color w:val="000000" w:themeColor="text1"/>
          <w:sz w:val="24"/>
          <w:szCs w:val="24"/>
          <w:lang w:eastAsia="cs-CZ"/>
        </w:rPr>
      </w:pPr>
      <w:r w:rsidRPr="00D5526B">
        <w:rPr>
          <w:rFonts w:ascii="Arial" w:hAnsi="Arial" w:cs="Arial"/>
          <w:bCs/>
          <w:color w:val="000000" w:themeColor="text1"/>
          <w:sz w:val="24"/>
          <w:szCs w:val="24"/>
          <w:lang w:eastAsia="cs-CZ"/>
        </w:rPr>
        <w:t xml:space="preserve">V příspěvku neřešíme situace, kdy je právo stavby zřízeno s následným odkupem pozemků, ke kterým je právo stavby zřízeno, tj. </w:t>
      </w:r>
      <w:proofErr w:type="gramStart"/>
      <w:r w:rsidRPr="00D5526B">
        <w:rPr>
          <w:rFonts w:ascii="Arial" w:hAnsi="Arial" w:cs="Arial"/>
          <w:bCs/>
          <w:color w:val="000000" w:themeColor="text1"/>
          <w:sz w:val="24"/>
          <w:szCs w:val="24"/>
          <w:lang w:eastAsia="cs-CZ"/>
        </w:rPr>
        <w:t>situace</w:t>
      </w:r>
      <w:proofErr w:type="gramEnd"/>
      <w:r w:rsidRPr="00D5526B">
        <w:rPr>
          <w:rFonts w:ascii="Arial" w:hAnsi="Arial" w:cs="Arial"/>
          <w:bCs/>
          <w:color w:val="000000" w:themeColor="text1"/>
          <w:sz w:val="24"/>
          <w:szCs w:val="24"/>
          <w:lang w:eastAsia="cs-CZ"/>
        </w:rPr>
        <w:t>, na které dopadá úprava dle § 13 odst. 3 písm. c) ZDPH.</w:t>
      </w:r>
    </w:p>
    <w:p w:rsidR="00C63718" w:rsidRPr="00D5526B" w:rsidRDefault="00C63718" w:rsidP="00C63718">
      <w:pPr>
        <w:jc w:val="both"/>
        <w:rPr>
          <w:rFonts w:ascii="Arial" w:hAnsi="Arial" w:cs="Arial"/>
        </w:rPr>
      </w:pPr>
    </w:p>
    <w:p w:rsidR="00C63718" w:rsidRDefault="00C63718" w:rsidP="00C63718">
      <w:pPr>
        <w:jc w:val="both"/>
        <w:rPr>
          <w:rFonts w:ascii="Arial" w:hAnsi="Arial" w:cs="Arial"/>
          <w:b/>
          <w:bCs/>
        </w:rPr>
      </w:pPr>
      <w:r w:rsidRPr="00D5526B">
        <w:rPr>
          <w:rFonts w:ascii="Arial" w:hAnsi="Arial" w:cs="Arial"/>
          <w:b/>
          <w:bCs/>
        </w:rPr>
        <w:t xml:space="preserve">2. Použité zkratky </w:t>
      </w:r>
    </w:p>
    <w:p w:rsidR="00C63718" w:rsidRPr="00D5526B" w:rsidRDefault="00C63718" w:rsidP="00C63718">
      <w:pPr>
        <w:jc w:val="both"/>
        <w:rPr>
          <w:rFonts w:ascii="Arial" w:hAnsi="Arial" w:cs="Arial"/>
          <w:b/>
          <w:bCs/>
        </w:rPr>
      </w:pPr>
    </w:p>
    <w:p w:rsidR="00C63718" w:rsidRPr="00D5526B" w:rsidRDefault="00C63718" w:rsidP="00C63718">
      <w:pPr>
        <w:jc w:val="both"/>
        <w:rPr>
          <w:rFonts w:ascii="Arial" w:hAnsi="Arial" w:cs="Arial"/>
        </w:rPr>
      </w:pPr>
      <w:r w:rsidRPr="00D5526B">
        <w:rPr>
          <w:rFonts w:ascii="Arial" w:hAnsi="Arial" w:cs="Arial"/>
        </w:rPr>
        <w:t xml:space="preserve">ZDPH - Zákon č. 235/2004 Sb., o dani z přidané hodnoty, v současném znění </w:t>
      </w:r>
    </w:p>
    <w:p w:rsidR="00C63718" w:rsidRPr="00D5526B" w:rsidRDefault="00C63718" w:rsidP="00C63718">
      <w:pPr>
        <w:jc w:val="both"/>
        <w:rPr>
          <w:rFonts w:ascii="Arial" w:hAnsi="Arial" w:cs="Arial"/>
        </w:rPr>
      </w:pPr>
      <w:r w:rsidRPr="00D5526B">
        <w:rPr>
          <w:rFonts w:ascii="Arial" w:hAnsi="Arial" w:cs="Arial"/>
        </w:rPr>
        <w:t xml:space="preserve">Směrnice DPH – Směrnice Rady 2006/112/ES o společném systému </w:t>
      </w:r>
      <w:proofErr w:type="gramStart"/>
      <w:r w:rsidRPr="00D5526B">
        <w:rPr>
          <w:rFonts w:ascii="Arial" w:hAnsi="Arial" w:cs="Arial"/>
        </w:rPr>
        <w:t>daně</w:t>
      </w:r>
      <w:proofErr w:type="gramEnd"/>
      <w:r w:rsidRPr="00D5526B">
        <w:rPr>
          <w:rFonts w:ascii="Arial" w:hAnsi="Arial" w:cs="Arial"/>
        </w:rPr>
        <w:t xml:space="preserve"> z přidané hodnoty </w:t>
      </w:r>
    </w:p>
    <w:p w:rsidR="00C63718" w:rsidRPr="00D5526B" w:rsidRDefault="00C63718" w:rsidP="00C63718">
      <w:pPr>
        <w:jc w:val="both"/>
        <w:rPr>
          <w:rFonts w:ascii="Arial" w:hAnsi="Arial" w:cs="Arial"/>
        </w:rPr>
      </w:pPr>
      <w:r w:rsidRPr="00D5526B">
        <w:rPr>
          <w:rFonts w:ascii="Arial" w:hAnsi="Arial" w:cs="Arial"/>
          <w:color w:val="000000" w:themeColor="text1"/>
        </w:rPr>
        <w:t>DUZP - Datum uskutečnění zdanitelného plnění</w:t>
      </w:r>
    </w:p>
    <w:p w:rsidR="00C63718" w:rsidRDefault="00C63718" w:rsidP="00C63718">
      <w:pPr>
        <w:jc w:val="both"/>
        <w:rPr>
          <w:rFonts w:ascii="Arial" w:hAnsi="Arial" w:cs="Arial"/>
          <w:b/>
          <w:bCs/>
        </w:rPr>
      </w:pPr>
    </w:p>
    <w:p w:rsidR="00C63718" w:rsidRDefault="00C63718" w:rsidP="00C63718">
      <w:pPr>
        <w:jc w:val="both"/>
        <w:rPr>
          <w:rFonts w:ascii="Arial" w:hAnsi="Arial" w:cs="Arial"/>
          <w:b/>
          <w:bCs/>
        </w:rPr>
      </w:pPr>
      <w:r w:rsidRPr="00D5526B">
        <w:rPr>
          <w:rFonts w:ascii="Arial" w:hAnsi="Arial" w:cs="Arial"/>
          <w:b/>
          <w:bCs/>
        </w:rPr>
        <w:t>3. Situace</w:t>
      </w:r>
    </w:p>
    <w:p w:rsidR="00C63718" w:rsidRPr="00D5526B" w:rsidRDefault="00C63718" w:rsidP="00C63718">
      <w:pPr>
        <w:jc w:val="both"/>
        <w:rPr>
          <w:rFonts w:ascii="Arial" w:hAnsi="Arial" w:cs="Arial"/>
        </w:rPr>
      </w:pPr>
    </w:p>
    <w:p w:rsidR="00C63718" w:rsidRPr="00D5526B" w:rsidRDefault="00C63718" w:rsidP="00C63718">
      <w:pPr>
        <w:jc w:val="both"/>
        <w:rPr>
          <w:rFonts w:ascii="Arial" w:hAnsi="Arial" w:cs="Arial"/>
          <w:i/>
          <w:iCs/>
          <w:u w:val="single"/>
        </w:rPr>
      </w:pPr>
      <w:proofErr w:type="gramStart"/>
      <w:r w:rsidRPr="00D5526B">
        <w:rPr>
          <w:rFonts w:ascii="Arial" w:hAnsi="Arial" w:cs="Arial"/>
          <w:i/>
          <w:iCs/>
          <w:u w:val="single"/>
        </w:rPr>
        <w:t>3.1  Stavební</w:t>
      </w:r>
      <w:proofErr w:type="gramEnd"/>
      <w:r w:rsidRPr="00D5526B">
        <w:rPr>
          <w:rFonts w:ascii="Arial" w:hAnsi="Arial" w:cs="Arial"/>
          <w:i/>
          <w:iCs/>
          <w:u w:val="single"/>
        </w:rPr>
        <w:t xml:space="preserve"> platy</w:t>
      </w:r>
    </w:p>
    <w:p w:rsidR="00C63718" w:rsidRDefault="00C63718" w:rsidP="00C63718">
      <w:pPr>
        <w:jc w:val="both"/>
        <w:rPr>
          <w:rFonts w:ascii="Arial" w:hAnsi="Arial" w:cs="Arial"/>
        </w:rPr>
      </w:pPr>
      <w:r w:rsidRPr="00D5526B">
        <w:rPr>
          <w:rFonts w:ascii="Arial" w:hAnsi="Arial" w:cs="Arial"/>
        </w:rPr>
        <w:t xml:space="preserve">Stavebník uzavřel s Vlastníkem pozemku smlouvu, ve které Vlastník zřizuje ve prospěch Stavebníka právo stavby ke svým pozemkům. Právo stavby bude pro tyto </w:t>
      </w:r>
      <w:r w:rsidRPr="00D5526B">
        <w:rPr>
          <w:rFonts w:ascii="Arial" w:hAnsi="Arial" w:cs="Arial"/>
        </w:rPr>
        <w:lastRenderedPageBreak/>
        <w:t xml:space="preserve">účely zřízeno </w:t>
      </w:r>
      <w:proofErr w:type="gramStart"/>
      <w:r w:rsidRPr="00D5526B">
        <w:rPr>
          <w:rFonts w:ascii="Arial" w:hAnsi="Arial" w:cs="Arial"/>
        </w:rPr>
        <w:t>na</w:t>
      </w:r>
      <w:proofErr w:type="gramEnd"/>
      <w:r w:rsidRPr="00D5526B">
        <w:rPr>
          <w:rFonts w:ascii="Arial" w:hAnsi="Arial" w:cs="Arial"/>
        </w:rPr>
        <w:t xml:space="preserve"> dobu určitou za účelem výstavby a užívání nemovitosti (maximálně 99 let).</w:t>
      </w:r>
    </w:p>
    <w:p w:rsidR="00C63718" w:rsidRPr="00D5526B" w:rsidRDefault="00C63718" w:rsidP="00C63718">
      <w:pPr>
        <w:jc w:val="both"/>
        <w:rPr>
          <w:rFonts w:ascii="Arial" w:hAnsi="Arial" w:cs="Arial"/>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Stavebník je povinen platit Vlastníkovi za zřízení práva stavby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pozemcích měsíční/čtvrtletní/pololetní stavební platy. Výše stavebních platů může být fixní nebo se může v čase měnit v závislosti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různých kritériích. </w:t>
      </w:r>
    </w:p>
    <w:p w:rsidR="00C63718" w:rsidRPr="00D5526B" w:rsidRDefault="00C63718" w:rsidP="00C63718">
      <w:pPr>
        <w:jc w:val="both"/>
        <w:rPr>
          <w:rFonts w:ascii="Arial" w:hAnsi="Arial" w:cs="Arial"/>
          <w:color w:val="000000" w:themeColor="text1"/>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U proměnlivých stavebních platů bývá okamžik přechodu mezi jednotlivými stavebními platy zpravidla pohyblivý a nelze pevně předvídat. Smluvní strany mohou například stanovit, že Stavebník bude platit stavební plat ve výši X ode dne vzniku práva stavby do dne nabytí právní moci stavebního povolení a následně bude platit stavební plat ve výši Y </w:t>
      </w:r>
      <w:proofErr w:type="gramStart"/>
      <w:r w:rsidRPr="00D5526B">
        <w:rPr>
          <w:rFonts w:ascii="Arial" w:hAnsi="Arial" w:cs="Arial"/>
          <w:color w:val="000000" w:themeColor="text1"/>
        </w:rPr>
        <w:t>od</w:t>
      </w:r>
      <w:proofErr w:type="gramEnd"/>
      <w:r w:rsidRPr="00D5526B">
        <w:rPr>
          <w:rFonts w:ascii="Arial" w:hAnsi="Arial" w:cs="Arial"/>
          <w:color w:val="000000" w:themeColor="text1"/>
        </w:rPr>
        <w:t xml:space="preserve"> nabytí právní moci stavebního povolení dál.</w:t>
      </w:r>
    </w:p>
    <w:p w:rsidR="00C63718" w:rsidRPr="00D5526B" w:rsidRDefault="00C63718" w:rsidP="00C63718">
      <w:pPr>
        <w:jc w:val="both"/>
        <w:rPr>
          <w:rFonts w:ascii="Arial" w:hAnsi="Arial" w:cs="Arial"/>
          <w:color w:val="000000" w:themeColor="text1"/>
          <w:u w:val="single"/>
        </w:rPr>
      </w:pPr>
    </w:p>
    <w:p w:rsidR="00C63718" w:rsidRDefault="00C63718" w:rsidP="00C63718">
      <w:pPr>
        <w:jc w:val="both"/>
        <w:rPr>
          <w:rFonts w:ascii="Arial" w:hAnsi="Arial" w:cs="Arial"/>
        </w:rPr>
      </w:pPr>
      <w:r w:rsidRPr="00D5526B">
        <w:rPr>
          <w:rFonts w:ascii="Arial" w:hAnsi="Arial" w:cs="Arial"/>
        </w:rPr>
        <w:t>Kromě výše popsané změny stavebních platů v čase, bývá v praxi běžné, že stejně jako u nájmu nemovité věci dochází i u stavebních platů ke každoroční valorizaci s přihlédnutím k hodnotě inflačního indexu. Inflační index je každoročně zveřejňován Českým statistickým úřadem a není dopředu znám. Nelze proto přesně předvídat, jakým způsobem se hodnota stavebních platů bude v čase měnit.</w:t>
      </w:r>
    </w:p>
    <w:p w:rsidR="00C63718" w:rsidRPr="00D5526B" w:rsidRDefault="00C63718" w:rsidP="00C63718">
      <w:pPr>
        <w:jc w:val="both"/>
        <w:rPr>
          <w:rFonts w:ascii="Arial" w:hAnsi="Arial" w:cs="Arial"/>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Dále se lze setkat s tím, že Vlastník je oprávněn navýšit vybrané stavební platy o vedlejší náklady, které mu vznikly v příslušném období z titulu zaplacených poplatků a dalších odvodů vzniklých v souvislosti s předmětnými pozemky. Tato kalkulační položka stavebních platů opět není dopředu známa </w:t>
      </w:r>
      <w:proofErr w:type="gramStart"/>
      <w:r w:rsidRPr="00D5526B">
        <w:rPr>
          <w:rFonts w:ascii="Arial" w:hAnsi="Arial" w:cs="Arial"/>
          <w:color w:val="000000" w:themeColor="text1"/>
        </w:rPr>
        <w:t>a</w:t>
      </w:r>
      <w:proofErr w:type="gramEnd"/>
      <w:r w:rsidRPr="00D5526B">
        <w:rPr>
          <w:rFonts w:ascii="Arial" w:hAnsi="Arial" w:cs="Arial"/>
          <w:color w:val="000000" w:themeColor="text1"/>
        </w:rPr>
        <w:t xml:space="preserve"> lze ji pouze velmi hrubě odhadovat. </w:t>
      </w:r>
    </w:p>
    <w:p w:rsidR="00C63718" w:rsidRPr="00D5526B" w:rsidRDefault="00C63718" w:rsidP="00C63718">
      <w:pPr>
        <w:jc w:val="both"/>
        <w:rPr>
          <w:rFonts w:ascii="Arial" w:hAnsi="Arial" w:cs="Arial"/>
          <w:color w:val="000000" w:themeColor="text1"/>
        </w:rPr>
      </w:pPr>
    </w:p>
    <w:p w:rsidR="00C63718" w:rsidRPr="00D5526B" w:rsidRDefault="00C63718" w:rsidP="00C63718">
      <w:pPr>
        <w:jc w:val="both"/>
        <w:rPr>
          <w:rFonts w:ascii="Arial" w:hAnsi="Arial" w:cs="Arial"/>
          <w:i/>
          <w:iCs/>
          <w:u w:val="single"/>
        </w:rPr>
      </w:pPr>
      <w:r w:rsidRPr="00D5526B">
        <w:rPr>
          <w:rFonts w:ascii="Arial" w:hAnsi="Arial" w:cs="Arial"/>
          <w:i/>
          <w:iCs/>
          <w:u w:val="single"/>
        </w:rPr>
        <w:t>3.2 Změny práva stavby</w:t>
      </w: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V praxi zpravidla dochází k tomu, že Vlastník poskytne Stavebníkovi právo postavit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jeho pozemku stavbu. Následně bude postavena stavba a v průběhu práva stavby tato stavba „zestárne“, tj. </w:t>
      </w:r>
      <w:proofErr w:type="gramStart"/>
      <w:r w:rsidRPr="00D5526B">
        <w:rPr>
          <w:rFonts w:ascii="Arial" w:hAnsi="Arial" w:cs="Arial"/>
          <w:color w:val="000000" w:themeColor="text1"/>
        </w:rPr>
        <w:t>uplyne</w:t>
      </w:r>
      <w:proofErr w:type="gramEnd"/>
      <w:r w:rsidRPr="00D5526B">
        <w:rPr>
          <w:rFonts w:ascii="Arial" w:hAnsi="Arial" w:cs="Arial"/>
          <w:color w:val="000000" w:themeColor="text1"/>
        </w:rPr>
        <w:t xml:space="preserve"> 5 let od vydání kolaudačního souhlasu nebo kolaudačního souhlasu po podstatné změně stavby. Může také dojít i k situaci, kdy nemovitost, která je předmětem hmotného práva stavby projde podstatnou změnou, po které je vydán kolaudační souhlas nebo kolaudační rozhodnutí a následně začíná běžet nový pětiletý test pro osvobození </w:t>
      </w:r>
      <w:proofErr w:type="gramStart"/>
      <w:r w:rsidRPr="00D5526B">
        <w:rPr>
          <w:rFonts w:ascii="Arial" w:hAnsi="Arial" w:cs="Arial"/>
          <w:color w:val="000000" w:themeColor="text1"/>
        </w:rPr>
        <w:t>od</w:t>
      </w:r>
      <w:proofErr w:type="gramEnd"/>
      <w:r w:rsidRPr="00D5526B">
        <w:rPr>
          <w:rFonts w:ascii="Arial" w:hAnsi="Arial" w:cs="Arial"/>
          <w:color w:val="000000" w:themeColor="text1"/>
        </w:rPr>
        <w:t xml:space="preserve"> DPH. Tyto dvě situace uvádíme, pouze jako ilustrační příklad, v praxi mohou nastat i jiné situace. </w:t>
      </w:r>
    </w:p>
    <w:p w:rsidR="00C63718" w:rsidRPr="00D5526B" w:rsidRDefault="00C63718" w:rsidP="00C63718">
      <w:pPr>
        <w:jc w:val="both"/>
        <w:rPr>
          <w:rFonts w:ascii="Arial" w:hAnsi="Arial" w:cs="Arial"/>
          <w:color w:val="000000" w:themeColor="text1"/>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V případě nastavení dílčích plnění se každý stavební plat považuje za platbu za samostatné dílčí plnění. Může tedy být sporné, zda se zdanění dílčích plnění v průběhu času mění v závislosti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příslušné stavbě – např. </w:t>
      </w:r>
      <w:proofErr w:type="gramStart"/>
      <w:r w:rsidRPr="00D5526B">
        <w:rPr>
          <w:rFonts w:ascii="Arial" w:hAnsi="Arial" w:cs="Arial"/>
          <w:color w:val="000000" w:themeColor="text1"/>
        </w:rPr>
        <w:t>stavba</w:t>
      </w:r>
      <w:proofErr w:type="gramEnd"/>
      <w:r w:rsidRPr="00D5526B">
        <w:rPr>
          <w:rFonts w:ascii="Arial" w:hAnsi="Arial" w:cs="Arial"/>
          <w:color w:val="000000" w:themeColor="text1"/>
        </w:rPr>
        <w:t xml:space="preserve"> pro sociální bydlení, stavba starší 5 let, podstatná změna stavby  </w:t>
      </w:r>
    </w:p>
    <w:p w:rsidR="00C63718" w:rsidRPr="00D5526B" w:rsidRDefault="00C63718" w:rsidP="00C63718">
      <w:pPr>
        <w:jc w:val="both"/>
        <w:rPr>
          <w:rFonts w:ascii="Arial" w:hAnsi="Arial" w:cs="Arial"/>
          <w:color w:val="000000" w:themeColor="text1"/>
        </w:rPr>
      </w:pPr>
    </w:p>
    <w:p w:rsidR="00C63718" w:rsidRPr="00D5526B" w:rsidRDefault="00C63718" w:rsidP="00C63718">
      <w:pPr>
        <w:jc w:val="both"/>
        <w:rPr>
          <w:rFonts w:ascii="Arial" w:hAnsi="Arial" w:cs="Arial"/>
          <w:i/>
          <w:iCs/>
          <w:u w:val="single"/>
        </w:rPr>
      </w:pPr>
      <w:r w:rsidRPr="00D5526B">
        <w:rPr>
          <w:rFonts w:ascii="Arial" w:hAnsi="Arial" w:cs="Arial"/>
          <w:i/>
          <w:iCs/>
          <w:u w:val="single"/>
        </w:rPr>
        <w:t>3.3 Vlastník pozemku není plátce DPH</w:t>
      </w:r>
    </w:p>
    <w:p w:rsidR="00C63718" w:rsidRDefault="00C63718" w:rsidP="00C63718">
      <w:pPr>
        <w:jc w:val="both"/>
        <w:rPr>
          <w:rFonts w:ascii="Arial" w:hAnsi="Arial" w:cs="Arial"/>
          <w:color w:val="000000" w:themeColor="text1"/>
        </w:rPr>
      </w:pPr>
      <w:r w:rsidRPr="00D5526B">
        <w:rPr>
          <w:rFonts w:ascii="Arial" w:hAnsi="Arial" w:cs="Arial"/>
          <w:color w:val="000000" w:themeColor="text1"/>
        </w:rPr>
        <w:t>Pokud Vlastník pozemku vystupuje v postavení osoby povinné k dani, která dosud není plátcem DPH, protože dosud nepřekročila příslušný obrat pro povinnou registraci dle § 6 ZDPH, ani neposkytuje jiná plnění, která by k registraci vedla, mohou dle našeho názoru nastat dvě situace:</w:t>
      </w:r>
    </w:p>
    <w:p w:rsidR="00C63718" w:rsidRDefault="00C63718" w:rsidP="00C63718">
      <w:pPr>
        <w:jc w:val="both"/>
        <w:rPr>
          <w:rFonts w:ascii="Arial" w:hAnsi="Arial" w:cs="Arial"/>
          <w:color w:val="000000" w:themeColor="text1"/>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(i) Vlastník a Stavebník sjednají úplatu formou stavebních platů, avšak ve smluvním ujednání neprojeví vůli zdaňovat stavební platy průběžně (např. formou ujednání o dílčích plněních nebo průběžném vystavování daňových dokladů). </w:t>
      </w:r>
      <w:r w:rsidRPr="00D5526B">
        <w:rPr>
          <w:rFonts w:ascii="Arial" w:hAnsi="Arial" w:cs="Arial"/>
        </w:rPr>
        <w:t xml:space="preserve">V tomto případě by se uplatnila základní pravidla pro stanovení DUZP dle § 21 odst. 2 ZDPH, tj.  </w:t>
      </w:r>
      <w:proofErr w:type="gramStart"/>
      <w:r w:rsidRPr="00D5526B">
        <w:rPr>
          <w:rFonts w:ascii="Arial" w:hAnsi="Arial" w:cs="Arial"/>
        </w:rPr>
        <w:lastRenderedPageBreak/>
        <w:t>jednorázové</w:t>
      </w:r>
      <w:proofErr w:type="gramEnd"/>
      <w:r w:rsidRPr="00D5526B">
        <w:rPr>
          <w:rFonts w:ascii="Arial" w:hAnsi="Arial" w:cs="Arial"/>
        </w:rPr>
        <w:t xml:space="preserve"> DUZP ke dni zřízení práva stavby (tj. ke dni předání nemovité věci do užívání). Pokud by celková suma budoucích stavebních platů překročila 1 mil Kč, pak by Vlastníkovi vznikla povinnost registrace k DPH </w:t>
      </w:r>
      <w:r w:rsidRPr="00D5526B">
        <w:rPr>
          <w:rFonts w:ascii="Arial" w:hAnsi="Arial" w:cs="Arial"/>
          <w:color w:val="000000" w:themeColor="text1"/>
        </w:rPr>
        <w:t>a stal by se plátcem DPH od prvního dne druhého měsíce následujícího po překročení obratu. Předpokladem je, že zřízení práva stavby jakožto dodání zboží nesplňuje podmínky ustanovení § 4a odst. 2 ZDPH pro vyloučení z obratu, protože se nejedná o dodání dlouhodobého majetku dle § 4 odst. 4 písm. d) ZDPH</w:t>
      </w:r>
      <w:r w:rsidRPr="00D5526B">
        <w:rPr>
          <w:rStyle w:val="Znakapoznpodarou"/>
          <w:rFonts w:ascii="Arial" w:hAnsi="Arial" w:cs="Arial"/>
          <w:color w:val="000000" w:themeColor="text1"/>
        </w:rPr>
        <w:footnoteReference w:id="13"/>
      </w:r>
      <w:r w:rsidRPr="00D5526B">
        <w:rPr>
          <w:rFonts w:ascii="Arial" w:hAnsi="Arial" w:cs="Arial"/>
          <w:color w:val="000000" w:themeColor="text1"/>
        </w:rPr>
        <w:t>.</w:t>
      </w:r>
    </w:p>
    <w:p w:rsidR="00C63718" w:rsidRPr="00D5526B" w:rsidRDefault="00C63718" w:rsidP="00C63718">
      <w:pPr>
        <w:jc w:val="both"/>
        <w:rPr>
          <w:rFonts w:ascii="Arial" w:hAnsi="Arial" w:cs="Arial"/>
          <w:color w:val="000000" w:themeColor="text1"/>
        </w:rPr>
      </w:pPr>
    </w:p>
    <w:p w:rsidR="00C63718" w:rsidRDefault="00C63718" w:rsidP="00C63718">
      <w:pPr>
        <w:jc w:val="both"/>
        <w:rPr>
          <w:rFonts w:ascii="Arial" w:hAnsi="Arial" w:cs="Arial"/>
          <w:color w:val="000000" w:themeColor="text1"/>
        </w:rPr>
      </w:pPr>
      <w:r w:rsidRPr="00D5526B">
        <w:rPr>
          <w:rFonts w:ascii="Arial" w:hAnsi="Arial" w:cs="Arial"/>
          <w:color w:val="000000" w:themeColor="text1"/>
        </w:rPr>
        <w:t xml:space="preserve">Prodleva mezi okamžikem uskutečnění zdanitelného plnění a okamžikem, kdy se Vlastník stane plátcem DPH povede k tomu, že celá úplata za zřízení práva stavby nebude podléhat DPH a rovněž ani následné průběžné platby (stavební platy) nebudou podléhat DPH (jedná se o platby po DUZP). </w:t>
      </w:r>
    </w:p>
    <w:p w:rsidR="00C63718" w:rsidRPr="00D5526B" w:rsidRDefault="00C63718" w:rsidP="00C63718">
      <w:pPr>
        <w:jc w:val="both"/>
        <w:rPr>
          <w:rFonts w:ascii="Arial" w:hAnsi="Arial" w:cs="Arial"/>
          <w:color w:val="000000" w:themeColor="text1"/>
        </w:rPr>
      </w:pPr>
    </w:p>
    <w:p w:rsidR="00C63718" w:rsidRPr="00D5526B" w:rsidRDefault="00C63718" w:rsidP="00C63718">
      <w:pPr>
        <w:jc w:val="both"/>
        <w:rPr>
          <w:rFonts w:ascii="Arial" w:hAnsi="Arial" w:cs="Arial"/>
          <w:color w:val="000000" w:themeColor="text1"/>
        </w:rPr>
      </w:pPr>
      <w:r w:rsidRPr="00D5526B">
        <w:rPr>
          <w:rFonts w:ascii="Arial" w:hAnsi="Arial" w:cs="Arial"/>
          <w:color w:val="000000" w:themeColor="text1"/>
        </w:rPr>
        <w:t>(ii) Vlastník a Stavebník sjednají úplatu za právo stavby formou stavebních platů a ze smluvního ujednání je patrná vůle smluvních stran zdaňovat stavební platy průběžně.  Vlastník bude jednotlivé stavební platy započítávat do obratu pro účely registrace k DPH a následně poté, co překročí zákonný obrat a stane se plátcem DPH (</w:t>
      </w:r>
      <w:proofErr w:type="gramStart"/>
      <w:r w:rsidRPr="00D5526B">
        <w:rPr>
          <w:rFonts w:ascii="Arial" w:hAnsi="Arial" w:cs="Arial"/>
          <w:color w:val="000000" w:themeColor="text1"/>
        </w:rPr>
        <w:t>od</w:t>
      </w:r>
      <w:proofErr w:type="gramEnd"/>
      <w:r w:rsidRPr="00D5526B">
        <w:rPr>
          <w:rFonts w:ascii="Arial" w:hAnsi="Arial" w:cs="Arial"/>
          <w:color w:val="000000" w:themeColor="text1"/>
        </w:rPr>
        <w:t xml:space="preserve"> prvního dne druhého měsíce po měsíci překročení obratů), začne stavební platy zdaňovat DPH. </w:t>
      </w:r>
    </w:p>
    <w:p w:rsidR="00C63718" w:rsidRPr="00D5526B" w:rsidRDefault="00C63718" w:rsidP="00C63718">
      <w:pPr>
        <w:jc w:val="both"/>
        <w:rPr>
          <w:rFonts w:ascii="Arial" w:hAnsi="Arial" w:cs="Arial"/>
          <w:color w:val="000000" w:themeColor="text1"/>
        </w:rPr>
      </w:pPr>
      <w:r w:rsidRPr="00D5526B">
        <w:rPr>
          <w:rFonts w:ascii="Arial" w:hAnsi="Arial" w:cs="Arial"/>
          <w:color w:val="000000" w:themeColor="text1"/>
        </w:rPr>
        <w:t>************************</w:t>
      </w:r>
    </w:p>
    <w:p w:rsidR="00C63718" w:rsidRPr="00D5526B" w:rsidRDefault="00C63718" w:rsidP="00C63718">
      <w:pPr>
        <w:jc w:val="both"/>
        <w:rPr>
          <w:rFonts w:ascii="Arial" w:hAnsi="Arial" w:cs="Arial"/>
          <w:b/>
          <w:i/>
        </w:rPr>
      </w:pPr>
      <w:r w:rsidRPr="00D5526B">
        <w:rPr>
          <w:rFonts w:ascii="Arial" w:hAnsi="Arial" w:cs="Arial"/>
          <w:b/>
          <w:i/>
        </w:rPr>
        <w:t>Dílčí otázka I</w:t>
      </w:r>
    </w:p>
    <w:p w:rsidR="00C63718" w:rsidRPr="00D5526B" w:rsidRDefault="00C63718" w:rsidP="00C63718">
      <w:pPr>
        <w:jc w:val="both"/>
        <w:rPr>
          <w:rFonts w:ascii="Arial" w:hAnsi="Arial" w:cs="Arial"/>
          <w:bCs/>
          <w:iCs/>
        </w:rPr>
      </w:pPr>
      <w:r w:rsidRPr="00D5526B">
        <w:rPr>
          <w:rFonts w:ascii="Arial" w:hAnsi="Arial" w:cs="Arial"/>
          <w:bCs/>
          <w:iCs/>
        </w:rPr>
        <w:t>Pokud je mezi Vlastníkem pozemku a Stavebníkem ujednána úplata za zřízení práva stavby formou stavebních platů a ze smluvního ujednání je zřejmá vůle smluvních stran zdaňovat stavební platy průběžně (například formou ujednání o dílčích plněních ve smyslu § 21 odst. 7 ZDPH nebo formou ujednání o postupném vystavování daňových dokladů za jednotlivá zúčtovací období dle článku 64 Směrnice), může Vlastník odvádět DPH postupně z každého stavebního platu?</w:t>
      </w:r>
    </w:p>
    <w:p w:rsidR="00C63718" w:rsidRDefault="00C63718" w:rsidP="00C63718">
      <w:pPr>
        <w:jc w:val="both"/>
        <w:rPr>
          <w:rFonts w:ascii="Arial" w:hAnsi="Arial" w:cs="Arial"/>
          <w:b/>
          <w:i/>
        </w:rPr>
      </w:pPr>
      <w:bookmarkStart w:id="6" w:name="_Hlk82070921"/>
    </w:p>
    <w:p w:rsidR="00C63718" w:rsidRPr="00D5526B" w:rsidRDefault="00C63718" w:rsidP="00C63718">
      <w:pPr>
        <w:jc w:val="both"/>
        <w:rPr>
          <w:rFonts w:ascii="Arial" w:hAnsi="Arial" w:cs="Arial"/>
          <w:b/>
          <w:i/>
        </w:rPr>
      </w:pPr>
      <w:r w:rsidRPr="00D5526B">
        <w:rPr>
          <w:rFonts w:ascii="Arial" w:hAnsi="Arial" w:cs="Arial"/>
          <w:b/>
          <w:i/>
        </w:rPr>
        <w:t>Dílčí otázka II</w:t>
      </w:r>
    </w:p>
    <w:p w:rsidR="00C63718" w:rsidRPr="00D5526B" w:rsidRDefault="00C63718" w:rsidP="00C63718">
      <w:pPr>
        <w:jc w:val="both"/>
        <w:rPr>
          <w:rFonts w:ascii="Arial" w:hAnsi="Arial" w:cs="Arial"/>
          <w:color w:val="000000" w:themeColor="text1"/>
        </w:rPr>
      </w:pPr>
      <w:r w:rsidRPr="00D5526B">
        <w:rPr>
          <w:rFonts w:ascii="Arial" w:hAnsi="Arial" w:cs="Arial"/>
          <w:color w:val="000000" w:themeColor="text1"/>
        </w:rPr>
        <w:t xml:space="preserve">V případě, kdy je ujednána úplata za právo stavby formou stavebních platů a smluvní strany projeví vůli tyto stavební platy zdaňovat průběžně mění se způsob uplatnění DPH v průběhu let v závislosti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změně samotné stavby?</w:t>
      </w:r>
    </w:p>
    <w:bookmarkEnd w:id="6"/>
    <w:p w:rsidR="00C63718" w:rsidRDefault="00C63718" w:rsidP="00C63718">
      <w:pPr>
        <w:jc w:val="both"/>
        <w:rPr>
          <w:rFonts w:ascii="Arial" w:hAnsi="Arial" w:cs="Arial"/>
          <w:b/>
          <w:i/>
        </w:rPr>
      </w:pPr>
    </w:p>
    <w:p w:rsidR="00C63718" w:rsidRPr="00D5526B" w:rsidRDefault="00C63718" w:rsidP="00C63718">
      <w:pPr>
        <w:jc w:val="both"/>
        <w:rPr>
          <w:rFonts w:ascii="Arial" w:hAnsi="Arial" w:cs="Arial"/>
          <w:b/>
          <w:i/>
        </w:rPr>
      </w:pPr>
      <w:r w:rsidRPr="00D5526B">
        <w:rPr>
          <w:rFonts w:ascii="Arial" w:hAnsi="Arial" w:cs="Arial"/>
          <w:b/>
          <w:i/>
        </w:rPr>
        <w:t>Dílčí otázka III</w:t>
      </w:r>
    </w:p>
    <w:p w:rsidR="00C63718" w:rsidRPr="00D5526B" w:rsidRDefault="00C63718" w:rsidP="00C63718">
      <w:pPr>
        <w:jc w:val="both"/>
        <w:rPr>
          <w:rFonts w:ascii="Arial" w:hAnsi="Arial" w:cs="Arial"/>
        </w:rPr>
      </w:pPr>
      <w:r w:rsidRPr="00D5526B">
        <w:rPr>
          <w:rFonts w:ascii="Arial" w:hAnsi="Arial" w:cs="Arial"/>
        </w:rPr>
        <w:t xml:space="preserve">Může Vlastník pozemku vystupující v postavení osoby povinné k dani, který není plátcem DPH a který sjedná se Stavebníkem úplatu ve formě stavebních platů, postupovat obdobně jako plátce DPH, </w:t>
      </w:r>
      <w:proofErr w:type="gramStart"/>
      <w:r w:rsidRPr="00D5526B">
        <w:rPr>
          <w:rFonts w:ascii="Arial" w:hAnsi="Arial" w:cs="Arial"/>
        </w:rPr>
        <w:t>a</w:t>
      </w:r>
      <w:proofErr w:type="gramEnd"/>
      <w:r w:rsidRPr="00D5526B">
        <w:rPr>
          <w:rFonts w:ascii="Arial" w:hAnsi="Arial" w:cs="Arial"/>
        </w:rPr>
        <w:t xml:space="preserve"> ujednat se Stavebníkem postupné zdaňování stavebních platů?</w:t>
      </w:r>
    </w:p>
    <w:p w:rsidR="00C63718" w:rsidRDefault="00C63718" w:rsidP="00C63718">
      <w:pPr>
        <w:jc w:val="both"/>
        <w:rPr>
          <w:rFonts w:ascii="Arial" w:hAnsi="Arial" w:cs="Arial"/>
          <w:b/>
          <w:bCs/>
        </w:rPr>
      </w:pPr>
    </w:p>
    <w:p w:rsidR="00C63718" w:rsidRDefault="00C63718" w:rsidP="00C63718">
      <w:pPr>
        <w:jc w:val="both"/>
        <w:rPr>
          <w:rFonts w:ascii="Arial" w:hAnsi="Arial" w:cs="Arial"/>
          <w:b/>
          <w:bCs/>
        </w:rPr>
      </w:pPr>
      <w:r w:rsidRPr="00D5526B">
        <w:rPr>
          <w:rFonts w:ascii="Arial" w:hAnsi="Arial" w:cs="Arial"/>
          <w:b/>
          <w:bCs/>
        </w:rPr>
        <w:t xml:space="preserve">4. Rozbor české </w:t>
      </w:r>
      <w:proofErr w:type="gramStart"/>
      <w:r w:rsidRPr="00D5526B">
        <w:rPr>
          <w:rFonts w:ascii="Arial" w:hAnsi="Arial" w:cs="Arial"/>
          <w:b/>
          <w:bCs/>
        </w:rPr>
        <w:t>a</w:t>
      </w:r>
      <w:proofErr w:type="gramEnd"/>
      <w:r w:rsidRPr="00D5526B">
        <w:rPr>
          <w:rFonts w:ascii="Arial" w:hAnsi="Arial" w:cs="Arial"/>
          <w:b/>
          <w:bCs/>
        </w:rPr>
        <w:t xml:space="preserve"> evropské legislativy</w:t>
      </w:r>
    </w:p>
    <w:p w:rsidR="00C63718" w:rsidRPr="00D5526B" w:rsidRDefault="00C63718" w:rsidP="00C63718">
      <w:pPr>
        <w:jc w:val="both"/>
        <w:rPr>
          <w:rFonts w:ascii="Arial" w:hAnsi="Arial" w:cs="Arial"/>
          <w:b/>
          <w:bCs/>
        </w:rPr>
      </w:pPr>
    </w:p>
    <w:p w:rsidR="00C63718" w:rsidRPr="00D5526B" w:rsidRDefault="00C63718" w:rsidP="00C63718">
      <w:pPr>
        <w:jc w:val="both"/>
        <w:rPr>
          <w:rFonts w:ascii="Arial" w:hAnsi="Arial" w:cs="Arial"/>
          <w:u w:val="single"/>
        </w:rPr>
      </w:pPr>
      <w:r w:rsidRPr="00D5526B">
        <w:rPr>
          <w:rFonts w:ascii="Arial" w:hAnsi="Arial" w:cs="Arial"/>
          <w:u w:val="single"/>
        </w:rPr>
        <w:t>4.1. Stavebních platy jako dílčí plnění</w:t>
      </w:r>
    </w:p>
    <w:p w:rsidR="00C63718" w:rsidRPr="00D5526B" w:rsidRDefault="00C63718" w:rsidP="00C63718">
      <w:pPr>
        <w:pStyle w:val="Odstavecseseznamem"/>
        <w:numPr>
          <w:ilvl w:val="0"/>
          <w:numId w:val="46"/>
        </w:numPr>
        <w:spacing w:after="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Dle § 4 odst. 2 písm. b) ZDPH se právo stavby považuje za zboží (dochází k fikci, kdy je služba považována za zboží). Tato fikce byla do ZDPH zavedena zákonným opatřením Senátu č. 344/2013 Sb. v rámci rekodifikace soukromého práva. </w:t>
      </w:r>
    </w:p>
    <w:p w:rsidR="00C63718" w:rsidRPr="00D5526B" w:rsidRDefault="00C63718" w:rsidP="00C63718">
      <w:pPr>
        <w:pStyle w:val="Odstavecseseznamem"/>
        <w:numPr>
          <w:ilvl w:val="0"/>
          <w:numId w:val="46"/>
        </w:numPr>
        <w:spacing w:after="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lastRenderedPageBreak/>
        <w:t xml:space="preserve">Dle ustanovení § 498 odst. 1 a § 1242 zákona č. 89/2012 Sb., občanský zákoník („OZ“), se právo stavby považuje za věcné právo k nemovitosti a za věc nemovitou, a to i v případě, kdy je právem stavby zatížen pouze pozemek a samotná stavba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pozemku zatím nestojí.</w:t>
      </w:r>
    </w:p>
    <w:p w:rsidR="00C63718" w:rsidRPr="00D5526B" w:rsidRDefault="00C63718" w:rsidP="00C63718">
      <w:pPr>
        <w:pStyle w:val="Odstavecseseznamem"/>
        <w:spacing w:after="0"/>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6"/>
        </w:numPr>
        <w:spacing w:after="160" w:line="259" w:lineRule="auto"/>
        <w:contextualSpacing/>
        <w:jc w:val="both"/>
        <w:rPr>
          <w:rFonts w:ascii="Arial" w:hAnsi="Arial" w:cs="Arial"/>
          <w:sz w:val="24"/>
          <w:szCs w:val="24"/>
        </w:rPr>
      </w:pPr>
      <w:r w:rsidRPr="00D5526B">
        <w:rPr>
          <w:rFonts w:ascii="Arial" w:hAnsi="Arial" w:cs="Arial"/>
          <w:color w:val="000000" w:themeColor="text1"/>
          <w:sz w:val="24"/>
          <w:szCs w:val="24"/>
        </w:rPr>
        <w:t xml:space="preserve">Dle § 56 odst. 5 se za </w:t>
      </w:r>
      <w:r w:rsidRPr="00D5526B">
        <w:rPr>
          <w:rFonts w:ascii="Arial" w:hAnsi="Arial" w:cs="Arial"/>
          <w:b/>
          <w:bCs/>
          <w:color w:val="000000" w:themeColor="text1"/>
          <w:sz w:val="24"/>
          <w:szCs w:val="24"/>
        </w:rPr>
        <w:t>vybranou nemovitou věc</w:t>
      </w:r>
      <w:r w:rsidRPr="00D5526B">
        <w:rPr>
          <w:rFonts w:ascii="Arial" w:hAnsi="Arial" w:cs="Arial"/>
          <w:color w:val="000000" w:themeColor="text1"/>
          <w:sz w:val="24"/>
          <w:szCs w:val="24"/>
        </w:rPr>
        <w:t xml:space="preserve"> pro účely DPH považuje právo stavby, jehož součástí je stavba pevně spojená se zemí. Převod práva stavby k pozemku,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kterém zatím žádná stavba nestojí (tj. právo stavbu postavit), není v ZDPH explicitně upraven jako vybraná nemovitá věc. Ustanovení § 56 ZDPH osvobozuje od DPH za splnění některých podmínek </w:t>
      </w:r>
    </w:p>
    <w:p w:rsidR="00C63718" w:rsidRPr="00D5526B" w:rsidRDefault="00C63718" w:rsidP="00C63718">
      <w:pPr>
        <w:pStyle w:val="Odstavecseseznamem"/>
        <w:spacing w:after="0"/>
        <w:ind w:left="1080"/>
        <w:jc w:val="both"/>
        <w:rPr>
          <w:rFonts w:ascii="Arial" w:hAnsi="Arial" w:cs="Arial"/>
          <w:color w:val="000000" w:themeColor="text1"/>
          <w:sz w:val="24"/>
          <w:szCs w:val="24"/>
        </w:rPr>
      </w:pPr>
      <w:proofErr w:type="gramStart"/>
      <w:r w:rsidRPr="00D5526B">
        <w:rPr>
          <w:rFonts w:ascii="Arial" w:hAnsi="Arial" w:cs="Arial"/>
          <w:color w:val="000000" w:themeColor="text1"/>
          <w:sz w:val="24"/>
          <w:szCs w:val="24"/>
        </w:rPr>
        <w:t>odst</w:t>
      </w:r>
      <w:proofErr w:type="gramEnd"/>
      <w:r w:rsidRPr="00D5526B">
        <w:rPr>
          <w:rFonts w:ascii="Arial" w:hAnsi="Arial" w:cs="Arial"/>
          <w:color w:val="000000" w:themeColor="text1"/>
          <w:sz w:val="24"/>
          <w:szCs w:val="24"/>
        </w:rPr>
        <w:t xml:space="preserve">. 1 – </w:t>
      </w:r>
      <w:proofErr w:type="gramStart"/>
      <w:r w:rsidRPr="00D5526B">
        <w:rPr>
          <w:rFonts w:ascii="Arial" w:hAnsi="Arial" w:cs="Arial"/>
          <w:color w:val="000000" w:themeColor="text1"/>
          <w:sz w:val="24"/>
          <w:szCs w:val="24"/>
        </w:rPr>
        <w:t>dodání</w:t>
      </w:r>
      <w:proofErr w:type="gramEnd"/>
      <w:r w:rsidRPr="00D5526B">
        <w:rPr>
          <w:rFonts w:ascii="Arial" w:hAnsi="Arial" w:cs="Arial"/>
          <w:color w:val="000000" w:themeColor="text1"/>
          <w:sz w:val="24"/>
          <w:szCs w:val="24"/>
        </w:rPr>
        <w:t xml:space="preserve"> určitých pozemků;</w:t>
      </w:r>
    </w:p>
    <w:p w:rsidR="00C63718" w:rsidRPr="00D5526B" w:rsidRDefault="00C63718" w:rsidP="00C63718">
      <w:pPr>
        <w:pStyle w:val="Odstavecseseznamem"/>
        <w:spacing w:after="0"/>
        <w:ind w:left="1080"/>
        <w:jc w:val="both"/>
        <w:rPr>
          <w:rFonts w:ascii="Arial" w:hAnsi="Arial" w:cs="Arial"/>
          <w:color w:val="000000" w:themeColor="text1"/>
          <w:sz w:val="24"/>
          <w:szCs w:val="24"/>
        </w:rPr>
      </w:pPr>
      <w:proofErr w:type="gramStart"/>
      <w:r w:rsidRPr="00D5526B">
        <w:rPr>
          <w:rFonts w:ascii="Arial" w:hAnsi="Arial" w:cs="Arial"/>
          <w:color w:val="000000" w:themeColor="text1"/>
          <w:sz w:val="24"/>
          <w:szCs w:val="24"/>
        </w:rPr>
        <w:t>odst</w:t>
      </w:r>
      <w:proofErr w:type="gramEnd"/>
      <w:r w:rsidRPr="00D5526B">
        <w:rPr>
          <w:rFonts w:ascii="Arial" w:hAnsi="Arial" w:cs="Arial"/>
          <w:color w:val="000000" w:themeColor="text1"/>
          <w:sz w:val="24"/>
          <w:szCs w:val="24"/>
        </w:rPr>
        <w:t xml:space="preserve">. 3 - </w:t>
      </w:r>
      <w:proofErr w:type="gramStart"/>
      <w:r w:rsidRPr="00D5526B">
        <w:rPr>
          <w:rFonts w:ascii="Arial" w:hAnsi="Arial" w:cs="Arial"/>
          <w:color w:val="000000" w:themeColor="text1"/>
          <w:sz w:val="24"/>
          <w:szCs w:val="24"/>
        </w:rPr>
        <w:t>dodání</w:t>
      </w:r>
      <w:proofErr w:type="gramEnd"/>
      <w:r w:rsidRPr="00D5526B">
        <w:rPr>
          <w:rFonts w:ascii="Arial" w:hAnsi="Arial" w:cs="Arial"/>
          <w:color w:val="000000" w:themeColor="text1"/>
          <w:sz w:val="24"/>
          <w:szCs w:val="24"/>
        </w:rPr>
        <w:t xml:space="preserve"> vybrané nemovité věci.</w:t>
      </w:r>
    </w:p>
    <w:p w:rsidR="00C63718" w:rsidRPr="00D5526B" w:rsidRDefault="00C63718" w:rsidP="00C63718">
      <w:pPr>
        <w:jc w:val="both"/>
        <w:rPr>
          <w:rFonts w:ascii="Arial" w:hAnsi="Arial" w:cs="Arial"/>
          <w:color w:val="000000" w:themeColor="text1"/>
        </w:rPr>
      </w:pPr>
    </w:p>
    <w:p w:rsidR="00C63718" w:rsidRPr="00D5526B" w:rsidRDefault="00C63718" w:rsidP="00C63718">
      <w:pPr>
        <w:pStyle w:val="Odstavecseseznamem"/>
        <w:numPr>
          <w:ilvl w:val="0"/>
          <w:numId w:val="47"/>
        </w:numPr>
        <w:spacing w:after="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V případě zřízení práva stavby, jehož součástí stavba zatím není, se osvobození dle § 56 ZDPH neuplatní (nejedná se o dodání pozemku ani o dodání vybrané nemovité věci) a takové plnění podléhá základní sazbě DPH. Toto potvrzuje i Informace GFŘ</w:t>
      </w:r>
      <w:r w:rsidRPr="00D5526B">
        <w:rPr>
          <w:rStyle w:val="Znakapoznpodarou"/>
          <w:rFonts w:ascii="Arial" w:hAnsi="Arial" w:cs="Arial"/>
          <w:color w:val="000000" w:themeColor="text1"/>
          <w:sz w:val="24"/>
          <w:szCs w:val="24"/>
        </w:rPr>
        <w:footnoteReference w:id="14"/>
      </w:r>
      <w:r w:rsidRPr="00D5526B">
        <w:rPr>
          <w:rFonts w:ascii="Arial" w:hAnsi="Arial" w:cs="Arial"/>
          <w:color w:val="000000" w:themeColor="text1"/>
          <w:sz w:val="24"/>
          <w:szCs w:val="24"/>
        </w:rPr>
        <w:t>.</w:t>
      </w:r>
    </w:p>
    <w:p w:rsidR="00C63718" w:rsidRPr="00D5526B" w:rsidRDefault="00C63718" w:rsidP="00C63718">
      <w:pPr>
        <w:pStyle w:val="Odstavecseseznamem"/>
        <w:spacing w:after="0"/>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DUZP u zřízení práva stavby jakožto nemovité věci se řídí speciálními pravidly dle § 21 odst. 2 ZDPH, a to jako den předání nemovité věci nabyvateli do užívání nebo den doručení vyrozumění, ve kterém je uveden den zápisu změny vlastnického práva. U práva stavby sice dochází k zápisu věcného práva do Katastru nemovitosti, nicméně se nejedná o „zápis změny vlastnického práva“, neboť vlastník nemovité věci se nemění. Proto lze usuzovat, že by se práva stavby týkal pouze den předání nemovité věci do užívání.</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V rámci příspěvku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Koordinační výbor KDPČR číslo 412/13.11.13 – </w:t>
      </w:r>
      <w:r w:rsidRPr="00D5526B">
        <w:rPr>
          <w:rFonts w:ascii="Arial" w:hAnsi="Arial" w:cs="Arial"/>
          <w:i/>
          <w:iCs/>
          <w:color w:val="000000" w:themeColor="text1"/>
          <w:sz w:val="24"/>
          <w:szCs w:val="24"/>
        </w:rPr>
        <w:t xml:space="preserve">K § 56 a 56a ZDPH ve znění účinném od 1. </w:t>
      </w:r>
      <w:proofErr w:type="gramStart"/>
      <w:r w:rsidRPr="00D5526B">
        <w:rPr>
          <w:rFonts w:ascii="Arial" w:hAnsi="Arial" w:cs="Arial"/>
          <w:i/>
          <w:iCs/>
          <w:color w:val="000000" w:themeColor="text1"/>
          <w:sz w:val="24"/>
          <w:szCs w:val="24"/>
        </w:rPr>
        <w:t>ledna</w:t>
      </w:r>
      <w:proofErr w:type="gramEnd"/>
      <w:r w:rsidRPr="00D5526B">
        <w:rPr>
          <w:rFonts w:ascii="Arial" w:hAnsi="Arial" w:cs="Arial"/>
          <w:i/>
          <w:iCs/>
          <w:color w:val="000000" w:themeColor="text1"/>
          <w:sz w:val="24"/>
          <w:szCs w:val="24"/>
        </w:rPr>
        <w:t xml:space="preserve"> 2014 </w:t>
      </w:r>
      <w:r w:rsidRPr="00D5526B">
        <w:rPr>
          <w:rFonts w:ascii="Arial" w:hAnsi="Arial" w:cs="Arial"/>
          <w:color w:val="000000" w:themeColor="text1"/>
          <w:sz w:val="24"/>
          <w:szCs w:val="24"/>
        </w:rPr>
        <w:t xml:space="preserve">bylo uzavřeno, že pokud by Vlastník stanovil DUZP dle výše citovaného ustanovení, pak by základem daně při zřízení práva stavby musela být celková úplata, tj. </w:t>
      </w:r>
      <w:proofErr w:type="gramStart"/>
      <w:r w:rsidRPr="00D5526B">
        <w:rPr>
          <w:rFonts w:ascii="Arial" w:hAnsi="Arial" w:cs="Arial"/>
          <w:color w:val="000000" w:themeColor="text1"/>
          <w:sz w:val="24"/>
          <w:szCs w:val="24"/>
        </w:rPr>
        <w:t>součet</w:t>
      </w:r>
      <w:proofErr w:type="gramEnd"/>
      <w:r w:rsidRPr="00D5526B">
        <w:rPr>
          <w:rFonts w:ascii="Arial" w:hAnsi="Arial" w:cs="Arial"/>
          <w:color w:val="000000" w:themeColor="text1"/>
          <w:sz w:val="24"/>
          <w:szCs w:val="24"/>
        </w:rPr>
        <w:t xml:space="preserve"> všech budoucích stavebních platů. </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F10146"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Domníváme se ale, že smluvní strany nemusí postupovat dle ustanovení § 21 odst. 2 ZDPH a v některých případech prakticky ani nemohou. Jak bylo popsáno v situaci, suma budoucích stavebních platů v praxi často není dopředu známa a odvíjí se </w:t>
      </w:r>
      <w:proofErr w:type="gramStart"/>
      <w:r w:rsidRPr="00D5526B">
        <w:rPr>
          <w:rFonts w:ascii="Arial" w:hAnsi="Arial" w:cs="Arial"/>
          <w:color w:val="000000" w:themeColor="text1"/>
          <w:sz w:val="24"/>
          <w:szCs w:val="24"/>
        </w:rPr>
        <w:t>od</w:t>
      </w:r>
      <w:proofErr w:type="gramEnd"/>
      <w:r w:rsidRPr="00D5526B">
        <w:rPr>
          <w:rFonts w:ascii="Arial" w:hAnsi="Arial" w:cs="Arial"/>
          <w:color w:val="000000" w:themeColor="text1"/>
          <w:sz w:val="24"/>
          <w:szCs w:val="24"/>
        </w:rPr>
        <w:t xml:space="preserve"> několika proměnných. Pokud by měla být DPH odvedena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začátku z odhadované sumy stavebních platů a následně opravována dle skutečnosti, lze takové opravy dle § 42 ZDPH provádět pouze 3 roky od konce zdaňovacího období, v němž vznikla povinnost odvést DPH. ZDPH tedy nepočítá s možností opravy základu </w:t>
      </w:r>
      <w:proofErr w:type="gramStart"/>
      <w:r w:rsidRPr="00D5526B">
        <w:rPr>
          <w:rFonts w:ascii="Arial" w:hAnsi="Arial" w:cs="Arial"/>
          <w:color w:val="000000" w:themeColor="text1"/>
          <w:sz w:val="24"/>
          <w:szCs w:val="24"/>
        </w:rPr>
        <w:t>daně</w:t>
      </w:r>
      <w:proofErr w:type="gramEnd"/>
      <w:r w:rsidRPr="00D5526B">
        <w:rPr>
          <w:rFonts w:ascii="Arial" w:hAnsi="Arial" w:cs="Arial"/>
          <w:color w:val="000000" w:themeColor="text1"/>
          <w:sz w:val="24"/>
          <w:szCs w:val="24"/>
        </w:rPr>
        <w:t xml:space="preserve"> po celou dobu zřízení práva stavby (až 99 let), tak jak je tomu například u finančního leasingu dle § 42 odst. 9 písm. b) ZDPH.</w:t>
      </w: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Směrnice DPH v článku 64 předpokládá u plnění trvalejší povahy, která vedou k postupným vyúčtováním a platbám, okamžik uskutečnění zdanitelného plnění </w:t>
      </w:r>
      <w:r w:rsidRPr="00D5526B">
        <w:rPr>
          <w:rFonts w:ascii="Arial" w:hAnsi="Arial" w:cs="Arial"/>
          <w:i/>
          <w:iCs/>
          <w:color w:val="000000" w:themeColor="text1"/>
          <w:sz w:val="24"/>
          <w:szCs w:val="24"/>
          <w:u w:val="single"/>
        </w:rPr>
        <w:lastRenderedPageBreak/>
        <w:t>„</w:t>
      </w:r>
      <w:r w:rsidRPr="00D5526B">
        <w:rPr>
          <w:rFonts w:ascii="Arial" w:hAnsi="Arial" w:cs="Arial"/>
          <w:i/>
          <w:iCs/>
          <w:color w:val="000000" w:themeColor="text1"/>
          <w:sz w:val="24"/>
          <w:szCs w:val="24"/>
        </w:rPr>
        <w:t>uplynutím období, ke kterým se tato vyúčtování nebo tyto platby vztahují</w:t>
      </w:r>
      <w:proofErr w:type="gramStart"/>
      <w:r w:rsidRPr="00D5526B">
        <w:rPr>
          <w:rFonts w:ascii="Arial" w:hAnsi="Arial" w:cs="Arial"/>
          <w:color w:val="000000" w:themeColor="text1"/>
          <w:sz w:val="24"/>
          <w:szCs w:val="24"/>
        </w:rPr>
        <w:t>.“</w:t>
      </w:r>
      <w:proofErr w:type="gramEnd"/>
      <w:r w:rsidRPr="00D5526B">
        <w:rPr>
          <w:rFonts w:ascii="Arial" w:hAnsi="Arial" w:cs="Arial"/>
          <w:color w:val="000000" w:themeColor="text1"/>
          <w:sz w:val="24"/>
          <w:szCs w:val="24"/>
        </w:rPr>
        <w:t xml:space="preserve"> Tento článek Směrnice musí členské státy EU povinně implementovat do své legislativy (nejedná se o tzv. may provision). </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Článek 64 Směrnice DPH byl do českého ZDPH implementován prostřednictvím tzv. </w:t>
      </w:r>
      <w:proofErr w:type="gramStart"/>
      <w:r w:rsidRPr="00D5526B">
        <w:rPr>
          <w:rFonts w:ascii="Arial" w:hAnsi="Arial" w:cs="Arial"/>
          <w:color w:val="000000" w:themeColor="text1"/>
          <w:sz w:val="24"/>
          <w:szCs w:val="24"/>
        </w:rPr>
        <w:t>dílčích</w:t>
      </w:r>
      <w:proofErr w:type="gramEnd"/>
      <w:r w:rsidRPr="00D5526B">
        <w:rPr>
          <w:rFonts w:ascii="Arial" w:hAnsi="Arial" w:cs="Arial"/>
          <w:color w:val="000000" w:themeColor="text1"/>
          <w:sz w:val="24"/>
          <w:szCs w:val="24"/>
        </w:rPr>
        <w:t xml:space="preserve"> plnění, které upravuje ustanovení § 21 odst.7 ZDPH. Znění článku 64 Směrnice je poněkud obecnější, než § 21 odst. 7 ZDPH a nevyžaduje konkrétní ujednání ve smlouvě, DUZP je poslední den vyúčtovacího období. Směrnice DPH navíc nijak neomezuje možnost použití článku 64 pouze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konkrétní typy smluv ani na situace, kdy výše budoucích plateb není dopředu známa. </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Článek 64 Směrnice DPH (a potažmo jeho česká implementace v § 21 odst. 7 ZDPH) by se měly aplikovat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plnění, která nemají jednorázovou povahu, ale předpokládají delší trvání právního vztahu, při kterém dochází k postupným platbám. V případě zřízení práva stavby je jednorázovost plnění dána pouze právní fikcí obsaženou v ZDPH, podle které se jedná o dodání zboží. Nicméně je zřejmé, že právo stavby ve skutečnosti není plněním jednorázové povahy a právní vztah mezi smluvními stranami trvá po celou dobu existence práva stavby. Aplikace článku 64 Směrnice DPH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zřízení práva stavby je tak dle našeho názoru v souladu s logikou Směrnice DPH. </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Výkladem článku 64 se zabýval Soudní dvůr EU („SDEU“) například ve věci C</w:t>
      </w:r>
      <w:r w:rsidRPr="00D5526B">
        <w:rPr>
          <w:rFonts w:ascii="Arial" w:hAnsi="Arial" w:cs="Arial"/>
          <w:color w:val="000000" w:themeColor="text1"/>
          <w:sz w:val="24"/>
          <w:szCs w:val="24"/>
        </w:rPr>
        <w:noBreakHyphen/>
        <w:t>548/17 baumgarten sports &amp; more GmbH. SDEU řešil, zda úplata agentury za zprostředkování fotbalového hráče, jejíž výplata je ve splátkách a je podmíněna několika budoucími skutečnostmi, má být zdaněna v okamžiku zprostředkování nebo až v okamžiku skutečné výplaty této provize. Ve svém rozsudku SDEU došel k závěru, že Směrnice DPH brání tomu, „</w:t>
      </w:r>
      <w:r w:rsidRPr="00D5526B">
        <w:rPr>
          <w:rFonts w:ascii="Arial" w:hAnsi="Arial" w:cs="Arial"/>
          <w:i/>
          <w:iCs/>
          <w:color w:val="000000" w:themeColor="text1"/>
          <w:sz w:val="24"/>
          <w:szCs w:val="24"/>
        </w:rPr>
        <w:t xml:space="preserve">aby se mělo za to, že zdanitelné plnění a daňová povinnost, které se týkají takové služby zprostředkování profesionálních fotbalových hráčů poskytované agentem, jako je služba dotčená v původním řízení, za niž dochází k podmíněným splátkovým platbám během několika let po zprostředkování, vznikly k datu tohoto zprostředkování“. </w:t>
      </w:r>
      <w:r w:rsidRPr="00D5526B">
        <w:rPr>
          <w:rFonts w:ascii="Arial" w:hAnsi="Arial" w:cs="Arial"/>
          <w:color w:val="000000" w:themeColor="text1"/>
          <w:sz w:val="24"/>
          <w:szCs w:val="24"/>
        </w:rPr>
        <w:t xml:space="preserve">SDEU uzavřel, že by se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danou situaci měl aplikovat právě článek 64 Směrnice DPH.</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numPr>
          <w:ilvl w:val="0"/>
          <w:numId w:val="51"/>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Analogicky v případě práva stavby, pokud bude úplata ujednána formou stavebních platů, dochází k podmíněným splátkovým platbám a </w:t>
      </w:r>
      <w:proofErr w:type="gramStart"/>
      <w:r w:rsidRPr="00D5526B">
        <w:rPr>
          <w:rFonts w:ascii="Arial" w:hAnsi="Arial" w:cs="Arial"/>
          <w:color w:val="000000" w:themeColor="text1"/>
          <w:sz w:val="24"/>
          <w:szCs w:val="24"/>
        </w:rPr>
        <w:t>měl</w:t>
      </w:r>
      <w:proofErr w:type="gramEnd"/>
      <w:r w:rsidRPr="00D5526B">
        <w:rPr>
          <w:rFonts w:ascii="Arial" w:hAnsi="Arial" w:cs="Arial"/>
          <w:color w:val="000000" w:themeColor="text1"/>
          <w:sz w:val="24"/>
          <w:szCs w:val="24"/>
        </w:rPr>
        <w:t xml:space="preserve"> by se uplatnit článek 64 Směrnice DPH.</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F10146" w:rsidRDefault="00C63718" w:rsidP="00C63718">
      <w:pPr>
        <w:pStyle w:val="Odstavecseseznamem"/>
        <w:numPr>
          <w:ilvl w:val="0"/>
          <w:numId w:val="47"/>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Pokud by daňová správa trvala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tom, že DUZP při zřízení práva stavby musí být stanoveno jednorázově ke dni dle § 21 odst. 2 ZDPH a není možné průběžně zdaňovat stavební platy, pak by ZDPH musel rovněž umožňovat opravy základu </w:t>
      </w:r>
      <w:proofErr w:type="gramStart"/>
      <w:r w:rsidRPr="00D5526B">
        <w:rPr>
          <w:rFonts w:ascii="Arial" w:hAnsi="Arial" w:cs="Arial"/>
          <w:color w:val="000000" w:themeColor="text1"/>
          <w:sz w:val="24"/>
          <w:szCs w:val="24"/>
        </w:rPr>
        <w:t>daně</w:t>
      </w:r>
      <w:proofErr w:type="gramEnd"/>
      <w:r w:rsidRPr="00D5526B">
        <w:rPr>
          <w:rFonts w:ascii="Arial" w:hAnsi="Arial" w:cs="Arial"/>
          <w:color w:val="000000" w:themeColor="text1"/>
          <w:sz w:val="24"/>
          <w:szCs w:val="24"/>
        </w:rPr>
        <w:t xml:space="preserve"> dle § 42 po celou dobu zřízení práva stavby stejně jako u finančního leasingu, nikoliv jen 3 roky.</w:t>
      </w:r>
    </w:p>
    <w:p w:rsidR="00C63718" w:rsidRPr="00D5526B" w:rsidRDefault="00C63718" w:rsidP="00C63718">
      <w:pPr>
        <w:jc w:val="both"/>
        <w:rPr>
          <w:rFonts w:ascii="Arial" w:hAnsi="Arial" w:cs="Arial"/>
          <w:color w:val="000000" w:themeColor="text1"/>
        </w:rPr>
      </w:pPr>
      <w:r w:rsidRPr="00D5526B">
        <w:rPr>
          <w:rFonts w:ascii="Arial" w:hAnsi="Arial" w:cs="Arial"/>
          <w:b/>
          <w:bCs/>
          <w:color w:val="000000" w:themeColor="text1"/>
        </w:rPr>
        <w:lastRenderedPageBreak/>
        <w:t>Dílčí závěr I</w:t>
      </w:r>
    </w:p>
    <w:p w:rsidR="00C63718" w:rsidRDefault="00C63718" w:rsidP="00C63718">
      <w:pPr>
        <w:jc w:val="both"/>
        <w:rPr>
          <w:rFonts w:ascii="Arial" w:hAnsi="Arial" w:cs="Arial"/>
          <w:color w:val="000000" w:themeColor="text1"/>
        </w:rPr>
      </w:pPr>
      <w:r w:rsidRPr="00D5526B">
        <w:rPr>
          <w:rFonts w:ascii="Arial" w:hAnsi="Arial" w:cs="Arial"/>
          <w:color w:val="000000" w:themeColor="text1"/>
        </w:rPr>
        <w:t>Pokud je úplata za zřízení práva stavby sjednána formou stavebních platů, mohou Vlastník pozemku a Stavebník zdaňovat stavební platy DPH průběžně za předpokladu, že ze smluvního ujednání je patrné, že mají v úmyslu postupovat dle článku 64 Směrnice DPH nebo ustanovení § 21 odst. 7 ZDPH</w:t>
      </w:r>
    </w:p>
    <w:p w:rsidR="00C63718" w:rsidRPr="00D5526B" w:rsidRDefault="00C63718" w:rsidP="00C63718">
      <w:pPr>
        <w:jc w:val="both"/>
        <w:rPr>
          <w:rFonts w:ascii="Arial" w:hAnsi="Arial" w:cs="Arial"/>
          <w:color w:val="000000" w:themeColor="text1"/>
        </w:rPr>
      </w:pPr>
    </w:p>
    <w:p w:rsidR="00C63718" w:rsidRDefault="00C63718" w:rsidP="00C63718">
      <w:pPr>
        <w:jc w:val="both"/>
        <w:rPr>
          <w:rFonts w:ascii="Arial" w:hAnsi="Arial" w:cs="Arial"/>
          <w:u w:val="single"/>
        </w:rPr>
      </w:pPr>
      <w:r w:rsidRPr="00D5526B">
        <w:rPr>
          <w:rFonts w:ascii="Arial" w:hAnsi="Arial" w:cs="Arial"/>
          <w:u w:val="single"/>
        </w:rPr>
        <w:t>4.2. Změna práva stavby v průběhu jeho životnosti</w:t>
      </w:r>
    </w:p>
    <w:p w:rsidR="00C63718" w:rsidRPr="00D5526B" w:rsidRDefault="00C63718" w:rsidP="00C63718">
      <w:pPr>
        <w:jc w:val="both"/>
        <w:rPr>
          <w:rFonts w:ascii="Arial" w:hAnsi="Arial" w:cs="Arial"/>
          <w:u w:val="single"/>
        </w:rPr>
      </w:pPr>
    </w:p>
    <w:p w:rsidR="00C63718" w:rsidRPr="00D5526B" w:rsidRDefault="00C63718" w:rsidP="00C63718">
      <w:pPr>
        <w:pStyle w:val="Odstavecseseznamem"/>
        <w:numPr>
          <w:ilvl w:val="0"/>
          <w:numId w:val="48"/>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V případě průběžného zdaňování stavebních platů se každý stavební plat považuje za platbu za samostatné dílčí plnění a DUZP nastává průběžně dnem uvedeným ve smlouvě nebo koncem vyúčtovacího období. V průběhu životnosti práva stavby může docházet k jeho změnám, které mají potenciální vliv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zdanění a je třeba ujasnit, zda takové změny mají dopad na zdanění či nikoliv. Jako příklad lze uvést dvě situace níže. V praxi mohou patrně nastat i další situace.  </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ind w:left="708"/>
        <w:jc w:val="both"/>
        <w:rPr>
          <w:rFonts w:ascii="Arial" w:hAnsi="Arial" w:cs="Arial"/>
          <w:color w:val="000000" w:themeColor="text1"/>
        </w:rPr>
      </w:pPr>
      <w:r w:rsidRPr="00D5526B">
        <w:rPr>
          <w:rFonts w:ascii="Arial" w:hAnsi="Arial" w:cs="Arial"/>
          <w:color w:val="000000" w:themeColor="text1"/>
        </w:rPr>
        <w:t xml:space="preserve">(i) Vlastník nejprve zřídí vůči Stavebníkovi právo postavit </w:t>
      </w:r>
      <w:proofErr w:type="gramStart"/>
      <w:r w:rsidRPr="00D5526B">
        <w:rPr>
          <w:rFonts w:ascii="Arial" w:hAnsi="Arial" w:cs="Arial"/>
          <w:color w:val="000000" w:themeColor="text1"/>
        </w:rPr>
        <w:t>na</w:t>
      </w:r>
      <w:proofErr w:type="gramEnd"/>
      <w:r w:rsidRPr="00D5526B">
        <w:rPr>
          <w:rFonts w:ascii="Arial" w:hAnsi="Arial" w:cs="Arial"/>
          <w:color w:val="000000" w:themeColor="text1"/>
        </w:rPr>
        <w:t xml:space="preserve"> pozemku stavbu a toto právo stavby podléhá základní sazbě DPH 21 % (pokud je Vlastník plátcem DPH). Následně bude postavena stavba a v průběhu práva stavby tato stavba „zestárne“</w:t>
      </w:r>
      <w:r w:rsidRPr="00D5526B">
        <w:rPr>
          <w:rStyle w:val="Znakapoznpodarou"/>
          <w:rFonts w:ascii="Arial" w:hAnsi="Arial" w:cs="Arial"/>
          <w:color w:val="000000" w:themeColor="text1"/>
        </w:rPr>
        <w:footnoteReference w:id="15"/>
      </w:r>
      <w:r w:rsidRPr="00D5526B">
        <w:rPr>
          <w:rFonts w:ascii="Arial" w:hAnsi="Arial" w:cs="Arial"/>
          <w:color w:val="000000" w:themeColor="text1"/>
        </w:rPr>
        <w:t xml:space="preserve">. Obecně zdanění práva stavby, jehož součástí je stavba, se odvíjí </w:t>
      </w:r>
      <w:proofErr w:type="gramStart"/>
      <w:r w:rsidRPr="00D5526B">
        <w:rPr>
          <w:rFonts w:ascii="Arial" w:hAnsi="Arial" w:cs="Arial"/>
          <w:color w:val="000000" w:themeColor="text1"/>
        </w:rPr>
        <w:t>od</w:t>
      </w:r>
      <w:proofErr w:type="gramEnd"/>
      <w:r w:rsidRPr="00D5526B">
        <w:rPr>
          <w:rFonts w:ascii="Arial" w:hAnsi="Arial" w:cs="Arial"/>
          <w:color w:val="000000" w:themeColor="text1"/>
        </w:rPr>
        <w:t xml:space="preserve"> druhu a stáří předmětné stavby a může podléhat první snížené sazbě (stavby pro sociální bydlení) nebo být po uplynutí 5 let osvobozeno od DPH bez nároku na odpočet daně na vstupu. Případná opce zdanění dle § 56 odst. 6 ZDPH by vedla k uplatnění režimu přenesení daňové povinnosti v souladu s § 92d ZDPH.</w:t>
      </w:r>
    </w:p>
    <w:p w:rsidR="00C63718" w:rsidRPr="00D5526B" w:rsidRDefault="00C63718" w:rsidP="00C63718">
      <w:pPr>
        <w:pStyle w:val="Odstavecseseznamem"/>
        <w:ind w:left="360"/>
        <w:jc w:val="both"/>
        <w:rPr>
          <w:rFonts w:ascii="Arial" w:hAnsi="Arial" w:cs="Arial"/>
          <w:color w:val="000000" w:themeColor="text1"/>
          <w:sz w:val="24"/>
          <w:szCs w:val="24"/>
        </w:rPr>
      </w:pPr>
    </w:p>
    <w:p w:rsidR="00C63718" w:rsidRPr="00D5526B" w:rsidRDefault="00C63718" w:rsidP="00C63718">
      <w:pPr>
        <w:pStyle w:val="Odstavecseseznamem"/>
        <w:jc w:val="both"/>
        <w:rPr>
          <w:rFonts w:ascii="Arial" w:hAnsi="Arial" w:cs="Arial"/>
          <w:color w:val="000000" w:themeColor="text1"/>
          <w:sz w:val="24"/>
          <w:szCs w:val="24"/>
        </w:rPr>
      </w:pPr>
      <w:r w:rsidRPr="00D5526B">
        <w:rPr>
          <w:rFonts w:ascii="Arial" w:hAnsi="Arial" w:cs="Arial"/>
          <w:color w:val="000000" w:themeColor="text1"/>
          <w:sz w:val="24"/>
          <w:szCs w:val="24"/>
        </w:rPr>
        <w:t xml:space="preserve">(ii) Vlastník převede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Stavebníka právo stavby, na kterém již stojí stavba, od jejíhož prvního kolaudačního rozhodnutí nebo souhlasu uplynulo 5 let. Takové zřízení práva stavby bude v souladu s § 56 odst. 3 osvobozeno </w:t>
      </w:r>
      <w:proofErr w:type="gramStart"/>
      <w:r w:rsidRPr="00D5526B">
        <w:rPr>
          <w:rFonts w:ascii="Arial" w:hAnsi="Arial" w:cs="Arial"/>
          <w:color w:val="000000" w:themeColor="text1"/>
          <w:sz w:val="24"/>
          <w:szCs w:val="24"/>
        </w:rPr>
        <w:t>od</w:t>
      </w:r>
      <w:proofErr w:type="gramEnd"/>
      <w:r w:rsidRPr="00D5526B">
        <w:rPr>
          <w:rFonts w:ascii="Arial" w:hAnsi="Arial" w:cs="Arial"/>
          <w:color w:val="000000" w:themeColor="text1"/>
          <w:sz w:val="24"/>
          <w:szCs w:val="24"/>
        </w:rPr>
        <w:t xml:space="preserve"> DPH. Stavebník následně provede podstatnou změnu stavby, která splňuje podmínky pro obnovení pětiletého testu pro osvobození </w:t>
      </w:r>
      <w:proofErr w:type="gramStart"/>
      <w:r w:rsidRPr="00D5526B">
        <w:rPr>
          <w:rFonts w:ascii="Arial" w:hAnsi="Arial" w:cs="Arial"/>
          <w:color w:val="000000" w:themeColor="text1"/>
          <w:sz w:val="24"/>
          <w:szCs w:val="24"/>
        </w:rPr>
        <w:t>od</w:t>
      </w:r>
      <w:proofErr w:type="gramEnd"/>
      <w:r w:rsidRPr="00D5526B">
        <w:rPr>
          <w:rFonts w:ascii="Arial" w:hAnsi="Arial" w:cs="Arial"/>
          <w:color w:val="000000" w:themeColor="text1"/>
          <w:sz w:val="24"/>
          <w:szCs w:val="24"/>
        </w:rPr>
        <w:t xml:space="preserve"> DPH a případné dodání takové nemovité věci by již podléhalo zdanění. </w:t>
      </w:r>
    </w:p>
    <w:p w:rsidR="00C63718" w:rsidRPr="00F10146" w:rsidRDefault="00C63718" w:rsidP="00C63718">
      <w:pPr>
        <w:jc w:val="both"/>
        <w:rPr>
          <w:rFonts w:ascii="Arial" w:hAnsi="Arial" w:cs="Arial"/>
          <w:color w:val="000000" w:themeColor="text1"/>
        </w:rPr>
      </w:pPr>
    </w:p>
    <w:p w:rsidR="00C63718" w:rsidRPr="00D5526B" w:rsidRDefault="00C63718" w:rsidP="00C63718">
      <w:pPr>
        <w:pStyle w:val="Odstavecseseznamem"/>
        <w:numPr>
          <w:ilvl w:val="0"/>
          <w:numId w:val="48"/>
        </w:numPr>
        <w:spacing w:after="160" w:line="259" w:lineRule="auto"/>
        <w:contextualSpacing/>
        <w:jc w:val="both"/>
        <w:rPr>
          <w:rFonts w:ascii="Arial" w:hAnsi="Arial" w:cs="Arial"/>
          <w:color w:val="000000" w:themeColor="text1"/>
          <w:sz w:val="24"/>
          <w:szCs w:val="24"/>
        </w:rPr>
      </w:pPr>
      <w:r w:rsidRPr="00D5526B">
        <w:rPr>
          <w:rFonts w:ascii="Arial" w:hAnsi="Arial" w:cs="Arial"/>
          <w:color w:val="000000" w:themeColor="text1"/>
          <w:sz w:val="24"/>
          <w:szCs w:val="24"/>
        </w:rPr>
        <w:t xml:space="preserve">Právo stavby je zřízeno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začátku při zápisu do Katastru nemovitostí (KN). Domníváme se, že pro účely zdanění je rozhodující právě stav nemovité věci ke dni zápisu do KN a ten se s postupem času nijak nemění. Skutečnost, že Stavebník postaví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pozemku stavbu ani jakákoliv jiná změna stavby, nemůže změnit charakter plnění, které poskytl Vlastník. Celkovým plněním Vlastníka bylo zřízení práva stavby v podobě, v jaké se pozemek či stavba nachází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začátku. Ujednáním o průběžném zdaňování dochází pouze k rozpadu celkového plnění </w:t>
      </w:r>
      <w:proofErr w:type="gramStart"/>
      <w:r w:rsidRPr="00D5526B">
        <w:rPr>
          <w:rFonts w:ascii="Arial" w:hAnsi="Arial" w:cs="Arial"/>
          <w:color w:val="000000" w:themeColor="text1"/>
          <w:sz w:val="24"/>
          <w:szCs w:val="24"/>
        </w:rPr>
        <w:t>na</w:t>
      </w:r>
      <w:proofErr w:type="gramEnd"/>
      <w:r w:rsidRPr="00D5526B">
        <w:rPr>
          <w:rFonts w:ascii="Arial" w:hAnsi="Arial" w:cs="Arial"/>
          <w:color w:val="000000" w:themeColor="text1"/>
          <w:sz w:val="24"/>
          <w:szCs w:val="24"/>
        </w:rPr>
        <w:t xml:space="preserve"> dílčí části a tato skutečnost by již neměla ovlivnit způsob zdanění. Jinými slovy všechny budoucí stavební platy budou podléhat stejnému způsobu zdanění jako při zřízení práva stavby. </w:t>
      </w:r>
    </w:p>
    <w:p w:rsidR="00521ED9" w:rsidRDefault="00521ED9" w:rsidP="00C63718">
      <w:pPr>
        <w:jc w:val="both"/>
        <w:rPr>
          <w:rFonts w:ascii="Arial" w:hAnsi="Arial" w:cs="Arial"/>
          <w:b/>
          <w:bCs/>
          <w:color w:val="000000" w:themeColor="text1"/>
          <w:lang w:eastAsia="cs-CZ"/>
        </w:rPr>
      </w:pPr>
    </w:p>
    <w:p w:rsidR="00C63718" w:rsidRPr="00D5526B" w:rsidRDefault="00C63718" w:rsidP="00C63718">
      <w:pPr>
        <w:jc w:val="both"/>
        <w:rPr>
          <w:rFonts w:ascii="Arial" w:hAnsi="Arial" w:cs="Arial"/>
          <w:b/>
          <w:bCs/>
          <w:color w:val="000000" w:themeColor="text1"/>
          <w:lang w:eastAsia="cs-CZ"/>
        </w:rPr>
      </w:pPr>
      <w:r w:rsidRPr="00D5526B">
        <w:rPr>
          <w:rFonts w:ascii="Arial" w:hAnsi="Arial" w:cs="Arial"/>
          <w:b/>
          <w:bCs/>
          <w:color w:val="000000" w:themeColor="text1"/>
          <w:lang w:eastAsia="cs-CZ"/>
        </w:rPr>
        <w:lastRenderedPageBreak/>
        <w:t>Dílčí závěr II</w:t>
      </w:r>
    </w:p>
    <w:p w:rsidR="00C63718" w:rsidRDefault="00C63718" w:rsidP="00C63718">
      <w:pPr>
        <w:jc w:val="both"/>
        <w:rPr>
          <w:rFonts w:ascii="Arial" w:hAnsi="Arial" w:cs="Arial"/>
          <w:color w:val="000000" w:themeColor="text1"/>
          <w:lang w:eastAsia="cs-CZ"/>
        </w:rPr>
      </w:pPr>
      <w:r w:rsidRPr="00D5526B">
        <w:rPr>
          <w:rFonts w:ascii="Arial" w:hAnsi="Arial" w:cs="Arial"/>
          <w:color w:val="000000" w:themeColor="text1"/>
          <w:lang w:eastAsia="cs-CZ"/>
        </w:rPr>
        <w:t xml:space="preserve">Při průběžném zdanění stavebních platů bude způsob zdanění stanoven s přihlédnutím ke stavu pozemku nebo stavby v okamžiku zápisu práva stavby do KN, tzn. </w:t>
      </w:r>
      <w:proofErr w:type="gramStart"/>
      <w:r w:rsidRPr="00D5526B">
        <w:rPr>
          <w:rFonts w:ascii="Arial" w:hAnsi="Arial" w:cs="Arial"/>
          <w:color w:val="000000" w:themeColor="text1"/>
          <w:lang w:eastAsia="cs-CZ"/>
        </w:rPr>
        <w:t>nedojde</w:t>
      </w:r>
      <w:proofErr w:type="gramEnd"/>
      <w:r w:rsidRPr="00D5526B">
        <w:rPr>
          <w:rFonts w:ascii="Arial" w:hAnsi="Arial" w:cs="Arial"/>
          <w:color w:val="000000" w:themeColor="text1"/>
          <w:lang w:eastAsia="cs-CZ"/>
        </w:rPr>
        <w:t xml:space="preserve"> k následné změně charakteru plnění po vybudování stavby nebo jakékoliv změně již vybudované stavby.</w:t>
      </w:r>
    </w:p>
    <w:p w:rsidR="00C63718" w:rsidRPr="00D5526B" w:rsidRDefault="00C63718" w:rsidP="00C63718">
      <w:pPr>
        <w:jc w:val="both"/>
        <w:rPr>
          <w:rFonts w:ascii="Arial" w:hAnsi="Arial" w:cs="Arial"/>
          <w:color w:val="000000" w:themeColor="text1"/>
          <w:lang w:eastAsia="cs-CZ"/>
        </w:rPr>
      </w:pPr>
    </w:p>
    <w:p w:rsidR="00C63718" w:rsidRPr="00D5526B" w:rsidRDefault="00C63718" w:rsidP="00C63718">
      <w:pPr>
        <w:jc w:val="both"/>
        <w:rPr>
          <w:rFonts w:ascii="Arial" w:hAnsi="Arial" w:cs="Arial"/>
          <w:color w:val="000000" w:themeColor="text1"/>
          <w:u w:val="single"/>
          <w:lang w:eastAsia="cs-CZ"/>
        </w:rPr>
      </w:pPr>
      <w:r w:rsidRPr="00D5526B">
        <w:rPr>
          <w:rFonts w:ascii="Arial" w:hAnsi="Arial" w:cs="Arial"/>
          <w:color w:val="000000" w:themeColor="text1"/>
          <w:u w:val="single"/>
          <w:lang w:eastAsia="cs-CZ"/>
        </w:rPr>
        <w:t>4. 3 Vlastník neplátce DPH</w:t>
      </w:r>
    </w:p>
    <w:p w:rsidR="00C63718" w:rsidRPr="00D5526B" w:rsidRDefault="00C63718" w:rsidP="00C63718">
      <w:pPr>
        <w:pStyle w:val="Odstavecseseznamem"/>
        <w:numPr>
          <w:ilvl w:val="0"/>
          <w:numId w:val="49"/>
        </w:numPr>
        <w:spacing w:after="160" w:line="259" w:lineRule="auto"/>
        <w:contextualSpacing/>
        <w:jc w:val="both"/>
        <w:rPr>
          <w:rFonts w:ascii="Arial" w:hAnsi="Arial" w:cs="Arial"/>
          <w:color w:val="000000" w:themeColor="text1"/>
          <w:sz w:val="24"/>
          <w:szCs w:val="24"/>
          <w:lang w:eastAsia="cs-CZ"/>
        </w:rPr>
      </w:pPr>
      <w:r w:rsidRPr="00D5526B">
        <w:rPr>
          <w:rFonts w:ascii="Arial" w:hAnsi="Arial" w:cs="Arial"/>
          <w:color w:val="000000" w:themeColor="text1"/>
          <w:sz w:val="24"/>
          <w:szCs w:val="24"/>
          <w:lang w:eastAsia="cs-CZ"/>
        </w:rPr>
        <w:t>Domníváme se, že samotná skutečnost, že Vlastník pozemku při uzavření smlouvy není plátcem DPH nebrání v tom, aby smluvní strany postupovali obdobně dle závěrů výše. Pokud je úplata za zřízení práva stavby ujednána formou stavebních platů, pak lze i v tomto případě nastavit zdanění DPH průběžně formou dílčích plnění ve smyslu § 21 odst. 7 ZDPH nebo postupného vystavování daňových dokladů dle článku 64 Směrnice DPH.</w:t>
      </w:r>
    </w:p>
    <w:p w:rsidR="00C63718" w:rsidRPr="00D5526B" w:rsidRDefault="00C63718" w:rsidP="00C63718">
      <w:pPr>
        <w:pStyle w:val="Odstavecseseznamem"/>
        <w:ind w:left="360"/>
        <w:jc w:val="both"/>
        <w:rPr>
          <w:rFonts w:ascii="Arial" w:hAnsi="Arial" w:cs="Arial"/>
          <w:color w:val="000000" w:themeColor="text1"/>
          <w:sz w:val="24"/>
          <w:szCs w:val="24"/>
          <w:lang w:eastAsia="cs-CZ"/>
        </w:rPr>
      </w:pPr>
    </w:p>
    <w:p w:rsidR="00C63718" w:rsidRPr="00D5526B" w:rsidRDefault="00C63718" w:rsidP="00C63718">
      <w:pPr>
        <w:pStyle w:val="Odstavecseseznamem"/>
        <w:numPr>
          <w:ilvl w:val="0"/>
          <w:numId w:val="49"/>
        </w:numPr>
        <w:spacing w:after="160" w:line="259" w:lineRule="auto"/>
        <w:contextualSpacing/>
        <w:jc w:val="both"/>
        <w:rPr>
          <w:rFonts w:ascii="Arial" w:hAnsi="Arial" w:cs="Arial"/>
          <w:color w:val="000000" w:themeColor="text1"/>
          <w:sz w:val="24"/>
          <w:szCs w:val="24"/>
          <w:lang w:eastAsia="cs-CZ"/>
        </w:rPr>
      </w:pPr>
      <w:r w:rsidRPr="00D5526B">
        <w:rPr>
          <w:rFonts w:ascii="Arial" w:hAnsi="Arial" w:cs="Arial"/>
          <w:color w:val="000000" w:themeColor="text1"/>
          <w:sz w:val="24"/>
          <w:szCs w:val="24"/>
          <w:lang w:eastAsia="cs-CZ"/>
        </w:rPr>
        <w:t xml:space="preserve">Při rozložení zdanění DPH do jednotlivých dílčích plnění může dojít k situaci, že obrat pro účely DPH nebude překročen a výsledkem bude nezdanění jednotlivých stavebních platů. </w:t>
      </w:r>
    </w:p>
    <w:p w:rsidR="00C63718" w:rsidRPr="00D5526B" w:rsidRDefault="00C63718" w:rsidP="00C63718">
      <w:pPr>
        <w:pStyle w:val="Odstavecseseznamem"/>
        <w:ind w:left="360"/>
        <w:jc w:val="both"/>
        <w:rPr>
          <w:rFonts w:ascii="Arial" w:hAnsi="Arial" w:cs="Arial"/>
          <w:color w:val="000000" w:themeColor="text1"/>
          <w:sz w:val="24"/>
          <w:szCs w:val="24"/>
          <w:lang w:eastAsia="cs-CZ"/>
        </w:rPr>
      </w:pPr>
    </w:p>
    <w:p w:rsidR="00C63718" w:rsidRPr="00D5526B" w:rsidRDefault="00C63718" w:rsidP="00C63718">
      <w:pPr>
        <w:pStyle w:val="Odstavecseseznamem"/>
        <w:numPr>
          <w:ilvl w:val="0"/>
          <w:numId w:val="49"/>
        </w:numPr>
        <w:spacing w:after="160" w:line="259" w:lineRule="auto"/>
        <w:contextualSpacing/>
        <w:jc w:val="both"/>
        <w:rPr>
          <w:rFonts w:ascii="Arial" w:hAnsi="Arial" w:cs="Arial"/>
          <w:color w:val="000000" w:themeColor="text1"/>
          <w:sz w:val="24"/>
          <w:szCs w:val="24"/>
          <w:lang w:eastAsia="cs-CZ"/>
        </w:rPr>
      </w:pPr>
      <w:r w:rsidRPr="00D5526B">
        <w:rPr>
          <w:rFonts w:ascii="Arial" w:hAnsi="Arial" w:cs="Arial"/>
          <w:color w:val="000000" w:themeColor="text1"/>
          <w:sz w:val="24"/>
          <w:szCs w:val="24"/>
          <w:lang w:eastAsia="cs-CZ"/>
        </w:rPr>
        <w:t xml:space="preserve">V případě, že ze smluvního ujednání není patrná vůle smluvních stran zdaňovat stavební platy průběžně, pak obecným postupem dle § 21 odst. 2 ZDPH nastane DUZP jednorázově ke dni předání nemovité věci do užívání. I tato situace může vést k tomu, že Vlastník pozemku nezdaní celou úplatu za zřízení práva stavby, protože k jeho faktické registraci k DPH dojde až </w:t>
      </w:r>
      <w:proofErr w:type="gramStart"/>
      <w:r w:rsidRPr="00D5526B">
        <w:rPr>
          <w:rFonts w:ascii="Arial" w:hAnsi="Arial" w:cs="Arial"/>
          <w:color w:val="000000" w:themeColor="text1"/>
          <w:sz w:val="24"/>
          <w:szCs w:val="24"/>
          <w:lang w:eastAsia="cs-CZ"/>
        </w:rPr>
        <w:t>od</w:t>
      </w:r>
      <w:proofErr w:type="gramEnd"/>
      <w:r w:rsidRPr="00D5526B">
        <w:rPr>
          <w:rFonts w:ascii="Arial" w:hAnsi="Arial" w:cs="Arial"/>
          <w:color w:val="000000" w:themeColor="text1"/>
          <w:sz w:val="24"/>
          <w:szCs w:val="24"/>
          <w:lang w:eastAsia="cs-CZ"/>
        </w:rPr>
        <w:t xml:space="preserve"> prvního dne druhého měsíce po překročení obratu. </w:t>
      </w:r>
    </w:p>
    <w:p w:rsidR="00C63718" w:rsidRPr="00D5526B" w:rsidRDefault="00C63718" w:rsidP="00C63718">
      <w:pPr>
        <w:jc w:val="both"/>
        <w:rPr>
          <w:rFonts w:ascii="Arial" w:hAnsi="Arial" w:cs="Arial"/>
          <w:b/>
          <w:bCs/>
          <w:color w:val="000000" w:themeColor="text1"/>
        </w:rPr>
      </w:pPr>
      <w:r w:rsidRPr="00D5526B">
        <w:rPr>
          <w:rFonts w:ascii="Arial" w:hAnsi="Arial" w:cs="Arial"/>
          <w:b/>
          <w:bCs/>
          <w:color w:val="000000" w:themeColor="text1"/>
        </w:rPr>
        <w:t>Dílčí závěr III</w:t>
      </w:r>
    </w:p>
    <w:p w:rsidR="00C63718" w:rsidRPr="00D5526B" w:rsidRDefault="00C63718" w:rsidP="00C63718">
      <w:pPr>
        <w:jc w:val="both"/>
        <w:rPr>
          <w:rFonts w:ascii="Arial" w:hAnsi="Arial" w:cs="Arial"/>
          <w:b/>
          <w:bCs/>
          <w:i/>
          <w:iCs/>
          <w:color w:val="000000" w:themeColor="text1"/>
        </w:rPr>
      </w:pPr>
    </w:p>
    <w:p w:rsidR="00C63718" w:rsidRPr="00D5526B" w:rsidRDefault="00C63718" w:rsidP="00C63718">
      <w:pPr>
        <w:jc w:val="both"/>
        <w:rPr>
          <w:rFonts w:ascii="Arial" w:hAnsi="Arial" w:cs="Arial"/>
          <w:color w:val="000000" w:themeColor="text1"/>
        </w:rPr>
      </w:pPr>
      <w:r w:rsidRPr="00D5526B">
        <w:rPr>
          <w:rFonts w:ascii="Arial" w:hAnsi="Arial" w:cs="Arial"/>
          <w:color w:val="000000" w:themeColor="text1"/>
        </w:rPr>
        <w:t>Sjednají-li si smluvní strany platbu za zřízení práva stavby formou stavebních platů, pak tyto stavební platy mohou zdaňovat průběžně, pokud ze smluvního ujednání je patrné, že postupují dle § 21 odst. 7 ZDPH nebo článku 64 Směrnice DPH.</w:t>
      </w:r>
    </w:p>
    <w:p w:rsidR="00C63718" w:rsidRPr="00D5526B" w:rsidRDefault="00C63718" w:rsidP="00C63718">
      <w:pPr>
        <w:jc w:val="both"/>
        <w:rPr>
          <w:rFonts w:ascii="Arial" w:hAnsi="Arial" w:cs="Arial"/>
          <w:color w:val="000000" w:themeColor="text1"/>
        </w:rPr>
      </w:pPr>
    </w:p>
    <w:p w:rsidR="00C63718" w:rsidRDefault="00C63718" w:rsidP="00C63718">
      <w:pPr>
        <w:jc w:val="both"/>
        <w:rPr>
          <w:rFonts w:ascii="Arial" w:hAnsi="Arial" w:cs="Arial"/>
          <w:b/>
          <w:bCs/>
        </w:rPr>
      </w:pPr>
      <w:r w:rsidRPr="00D5526B">
        <w:rPr>
          <w:rFonts w:ascii="Arial" w:hAnsi="Arial" w:cs="Arial"/>
          <w:b/>
          <w:bCs/>
        </w:rPr>
        <w:t>5. Návrh řešení</w:t>
      </w:r>
    </w:p>
    <w:p w:rsidR="00C63718" w:rsidRPr="00D5526B" w:rsidRDefault="00C63718" w:rsidP="00C63718">
      <w:pPr>
        <w:jc w:val="both"/>
        <w:rPr>
          <w:rFonts w:ascii="Arial" w:hAnsi="Arial" w:cs="Arial"/>
          <w:b/>
          <w:bCs/>
        </w:rPr>
      </w:pPr>
    </w:p>
    <w:p w:rsidR="00C63718" w:rsidRPr="00D5526B" w:rsidRDefault="00C63718" w:rsidP="00C63718">
      <w:pPr>
        <w:jc w:val="both"/>
        <w:rPr>
          <w:rFonts w:ascii="Arial" w:hAnsi="Arial" w:cs="Arial"/>
          <w:b/>
          <w:bCs/>
        </w:rPr>
      </w:pPr>
      <w:r w:rsidRPr="00D5526B">
        <w:rPr>
          <w:rFonts w:ascii="Arial" w:hAnsi="Arial" w:cs="Arial"/>
        </w:rPr>
        <w:t xml:space="preserve">Navrhujeme přijmout výše popsané dílčí závěry a náležitým způsobem je publikovat.  </w:t>
      </w:r>
    </w:p>
    <w:p w:rsidR="00C63718" w:rsidRDefault="00C63718" w:rsidP="00C63718">
      <w:pPr>
        <w:pStyle w:val="Zkladntext"/>
        <w:spacing w:after="0" w:line="276" w:lineRule="auto"/>
        <w:rPr>
          <w:rFonts w:ascii="Arial" w:hAnsi="Arial" w:cs="Arial"/>
          <w:b/>
          <w:color w:val="000000"/>
          <w:shd w:val="clear" w:color="auto" w:fill="FFFFFF"/>
        </w:rPr>
      </w:pPr>
    </w:p>
    <w:p w:rsidR="00C63718" w:rsidRPr="00AA1192" w:rsidRDefault="00C63718" w:rsidP="00C63718">
      <w:pPr>
        <w:pStyle w:val="Zkladntext"/>
        <w:spacing w:after="0" w:line="276" w:lineRule="auto"/>
        <w:rPr>
          <w:rFonts w:ascii="Arial" w:hAnsi="Arial" w:cs="Arial"/>
          <w:b/>
          <w:i/>
          <w:color w:val="000000"/>
          <w:highlight w:val="cyan"/>
          <w:u w:val="single"/>
          <w:shd w:val="clear" w:color="auto" w:fill="FFFFFF"/>
        </w:rPr>
      </w:pPr>
      <w:r w:rsidRPr="00AA1192">
        <w:rPr>
          <w:rFonts w:ascii="Arial" w:hAnsi="Arial" w:cs="Arial"/>
          <w:b/>
          <w:i/>
          <w:color w:val="000000"/>
          <w:highlight w:val="cyan"/>
          <w:u w:val="single"/>
          <w:shd w:val="clear" w:color="auto" w:fill="FFFFFF"/>
        </w:rPr>
        <w:t>Stanovisko GFŘ</w:t>
      </w:r>
      <w:r w:rsidR="00AA1192" w:rsidRPr="00AA1192">
        <w:rPr>
          <w:rFonts w:ascii="Arial" w:hAnsi="Arial" w:cs="Arial"/>
          <w:b/>
          <w:i/>
          <w:color w:val="000000"/>
          <w:highlight w:val="cyan"/>
          <w:u w:val="single"/>
          <w:shd w:val="clear" w:color="auto" w:fill="FFFFFF"/>
        </w:rPr>
        <w:t>:</w:t>
      </w:r>
    </w:p>
    <w:p w:rsidR="00C63718" w:rsidRPr="00AA1192" w:rsidRDefault="00C63718" w:rsidP="00C63718">
      <w:pPr>
        <w:pStyle w:val="Zkladntext"/>
        <w:spacing w:line="276" w:lineRule="auto"/>
        <w:jc w:val="both"/>
        <w:rPr>
          <w:rFonts w:ascii="Arial" w:hAnsi="Arial" w:cs="Arial"/>
          <w:i/>
          <w:color w:val="000000"/>
          <w:shd w:val="clear" w:color="auto" w:fill="FFFFFF"/>
        </w:rPr>
      </w:pPr>
      <w:r w:rsidRPr="00AA1192">
        <w:rPr>
          <w:rFonts w:ascii="Arial" w:hAnsi="Arial" w:cs="Arial"/>
          <w:bCs/>
          <w:i/>
          <w:highlight w:val="cyan"/>
        </w:rPr>
        <w:t>GF</w:t>
      </w:r>
      <w:r w:rsidR="00AA1192">
        <w:rPr>
          <w:rFonts w:ascii="Arial" w:hAnsi="Arial" w:cs="Arial"/>
          <w:bCs/>
          <w:i/>
          <w:highlight w:val="cyan"/>
        </w:rPr>
        <w:t>Ř</w:t>
      </w:r>
      <w:r w:rsidRPr="00AA1192">
        <w:rPr>
          <w:rFonts w:ascii="Arial" w:hAnsi="Arial" w:cs="Arial"/>
          <w:bCs/>
          <w:i/>
          <w:highlight w:val="cyan"/>
        </w:rPr>
        <w:t xml:space="preserve"> vázáno právním názorem MF souhlasí se závěry předkladatelů.</w:t>
      </w:r>
    </w:p>
    <w:p w:rsidR="002844F3" w:rsidRPr="002844F3" w:rsidRDefault="002844F3" w:rsidP="002844F3">
      <w:pPr>
        <w:pStyle w:val="Zkladntext"/>
        <w:spacing w:after="0" w:line="276" w:lineRule="auto"/>
        <w:rPr>
          <w:rFonts w:ascii="Arial" w:hAnsi="Arial" w:cs="Arial"/>
          <w:b/>
          <w:color w:val="000000"/>
          <w:shd w:val="clear" w:color="auto" w:fill="FFFFFF"/>
        </w:rPr>
      </w:pPr>
    </w:p>
    <w:sectPr w:rsidR="002844F3" w:rsidRPr="002844F3" w:rsidSect="00701DE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F4" w:rsidRDefault="004753F4">
      <w:r>
        <w:separator/>
      </w:r>
    </w:p>
  </w:endnote>
  <w:endnote w:type="continuationSeparator" w:id="0">
    <w:p w:rsidR="004753F4" w:rsidRDefault="0047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3A" w:rsidRPr="0057195C" w:rsidRDefault="00B3013A"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771559">
      <w:rPr>
        <w:noProof/>
        <w:sz w:val="20"/>
        <w:szCs w:val="20"/>
        <w:lang w:val="cs-CZ"/>
      </w:rPr>
      <w:t>21</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771559">
      <w:rPr>
        <w:noProof/>
        <w:sz w:val="20"/>
        <w:szCs w:val="20"/>
        <w:lang w:val="cs-CZ"/>
      </w:rPr>
      <w:t>33</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F4" w:rsidRDefault="004753F4">
      <w:r>
        <w:separator/>
      </w:r>
    </w:p>
  </w:footnote>
  <w:footnote w:type="continuationSeparator" w:id="0">
    <w:p w:rsidR="004753F4" w:rsidRDefault="004753F4">
      <w:r>
        <w:continuationSeparator/>
      </w:r>
    </w:p>
  </w:footnote>
  <w:footnote w:id="1">
    <w:p w:rsidR="00B3013A" w:rsidRPr="00EF75EC" w:rsidRDefault="00B3013A" w:rsidP="00006DD5">
      <w:pPr>
        <w:pStyle w:val="Textpoznpodarou"/>
      </w:pPr>
      <w:r w:rsidRPr="00207106">
        <w:rPr>
          <w:rStyle w:val="Znakapoznpodarou"/>
          <w:rFonts w:eastAsia="SimSun"/>
        </w:rPr>
        <w:footnoteRef/>
      </w:r>
      <w:r w:rsidRPr="00207106">
        <w:t xml:space="preserve"> Příspěvky KOOV č. 340/14.09.11 Nepřímé bonusy, č. 350/14.12.11 Bonusy poskytované finálním zákazníkům a č. 403/29.05.13 Poskytnutí nepřímého bonusu od zahraničního výrobce zboží</w:t>
      </w:r>
      <w:r>
        <w:t>.</w:t>
      </w:r>
    </w:p>
  </w:footnote>
  <w:footnote w:id="2">
    <w:p w:rsidR="00B3013A" w:rsidRDefault="00B3013A" w:rsidP="00006DD5">
      <w:pPr>
        <w:pStyle w:val="Textpoznpodarou"/>
      </w:pPr>
      <w:r>
        <w:rPr>
          <w:rStyle w:val="Znakapoznpodarou"/>
          <w:rFonts w:eastAsia="SimSun"/>
        </w:rPr>
        <w:footnoteRef/>
      </w:r>
      <w:r>
        <w:t xml:space="preserve"> Např. rozsudek SDEU ve věci C-317/94 Elida Gibbs.</w:t>
      </w:r>
    </w:p>
  </w:footnote>
  <w:footnote w:id="3">
    <w:p w:rsidR="00B3013A" w:rsidRDefault="00B3013A" w:rsidP="00006DD5">
      <w:pPr>
        <w:pStyle w:val="Textpoznpodarou"/>
      </w:pPr>
      <w:r>
        <w:rPr>
          <w:rStyle w:val="Znakapoznpodarou"/>
          <w:rFonts w:eastAsia="SimSun"/>
        </w:rPr>
        <w:footnoteRef/>
      </w:r>
      <w:r>
        <w:t xml:space="preserve"> Zejména § 25 zákona č. 378/2007 Sb., zákon o léčivech a o změnách některých souvisejících zákonů, v platném znění.</w:t>
      </w:r>
    </w:p>
  </w:footnote>
  <w:footnote w:id="4">
    <w:p w:rsidR="00B3013A" w:rsidRDefault="00B3013A" w:rsidP="008E6297">
      <w:pPr>
        <w:pStyle w:val="Textpoznpodarou"/>
      </w:pPr>
      <w:r>
        <w:rPr>
          <w:rStyle w:val="Znakapoznpodarou"/>
        </w:rPr>
        <w:footnoteRef/>
      </w:r>
      <w:r>
        <w:t xml:space="preserve"> Inspirací byla úprava trustu v občanském zákoníku provincie Quebec, Kanad, který vychází z tradice občanského práva kontinentální Evropy.</w:t>
      </w:r>
    </w:p>
  </w:footnote>
  <w:footnote w:id="5">
    <w:p w:rsidR="00B3013A" w:rsidRDefault="00B3013A" w:rsidP="008E6297">
      <w:pPr>
        <w:pStyle w:val="Textpoznpodarou"/>
      </w:pPr>
      <w:r w:rsidRPr="00457532">
        <w:rPr>
          <w:rStyle w:val="Znakapoznpodarou"/>
        </w:rPr>
        <w:footnoteRef/>
      </w:r>
      <w:r w:rsidRPr="00457532">
        <w:t xml:space="preserve"> Tato koncepce vyhovuje pojetí trustu v common law, resp. tradičního principu správy majetku v trustu pro a namísto zřizovatele či beneficienta trustu – fyzické osoby</w:t>
      </w:r>
      <w:r>
        <w:t>, vyskytuje se však i u trustových struktur („trust-like structures“) kontinentální typu.</w:t>
      </w:r>
    </w:p>
  </w:footnote>
  <w:footnote w:id="6">
    <w:p w:rsidR="00B3013A" w:rsidRDefault="00B3013A" w:rsidP="008E6297">
      <w:pPr>
        <w:pStyle w:val="Textpoznpodarou"/>
      </w:pPr>
      <w:r>
        <w:rPr>
          <w:rStyle w:val="Znakapoznpodarou"/>
        </w:rPr>
        <w:footnoteRef/>
      </w:r>
      <w:r>
        <w:t xml:space="preserve"> T</w:t>
      </w:r>
      <w:r w:rsidRPr="00705277">
        <w:t>uto skutečnost reflektují</w:t>
      </w:r>
      <w:r>
        <w:t xml:space="preserve"> Článek 1, bod 2. protokolu č. 64 / 2014 </w:t>
      </w:r>
      <w:proofErr w:type="gramStart"/>
      <w:r>
        <w:t>S.m.</w:t>
      </w:r>
      <w:proofErr w:type="gramEnd"/>
      <w:r>
        <w:t xml:space="preserve">s., který upravuje smlouvu mezi Vládou České republiky a Vládou Singapurské republiky o zamezení dvojího zdaněn a zabránění daňovému úniku v oboru daní z příjmu; Článekl.3 odst. 2 sdělení č. 75/2008 </w:t>
      </w:r>
      <w:proofErr w:type="gramStart"/>
      <w:r>
        <w:t>S.m.</w:t>
      </w:r>
      <w:proofErr w:type="gramEnd"/>
      <w:r>
        <w:t>s., o Smlouvě mezi Českou republikou a Novým Zélandem o zamezení dvojímu zdanění a zabránění daňovému úniku v oboru daní z příjmu. V</w:t>
      </w:r>
      <w:r w:rsidRPr="00705277">
        <w:t> nich se stanoví pro případ, kdy správce trustu podléhá zdanění na Novém Zélandu nebo v Singapuru, že pokud jde o dividendy, úroky nebo licenční poplatky, které jsou pobírány trustem ze zdrojů na území Č</w:t>
      </w:r>
      <w:r>
        <w:t>R</w:t>
      </w:r>
      <w:r w:rsidRPr="00E77F8F">
        <w:t xml:space="preserve">, má </w:t>
      </w:r>
      <w:r>
        <w:t xml:space="preserve">se </w:t>
      </w:r>
      <w:r w:rsidRPr="00E77F8F">
        <w:t>za to, že pro účely článků 10, 11 a 12 je správce</w:t>
      </w:r>
      <w:r>
        <w:t xml:space="preserve"> trustu</w:t>
      </w:r>
      <w:r w:rsidRPr="00E77F8F">
        <w:t xml:space="preserve"> skutečným vlastníkem dividend, úroků nebo licenčních poplatků</w:t>
      </w:r>
      <w:r>
        <w:t>;</w:t>
      </w:r>
    </w:p>
  </w:footnote>
  <w:footnote w:id="7">
    <w:p w:rsidR="00B3013A" w:rsidRDefault="00B3013A" w:rsidP="008E6297">
      <w:r w:rsidRPr="00F77BE1">
        <w:rPr>
          <w:vertAlign w:val="superscript"/>
        </w:rPr>
        <w:footnoteRef/>
      </w:r>
      <w:r w:rsidRPr="00F77BE1">
        <w:rPr>
          <w:vertAlign w:val="superscript"/>
        </w:rPr>
        <w:t xml:space="preserve"> </w:t>
      </w:r>
      <w:r w:rsidRPr="00F77BE1">
        <w:rPr>
          <w:sz w:val="20"/>
        </w:rPr>
        <w:t>K tomu poznamenáváme, že i v českém právním řádu existuje určitá dvoukolejnost, když např. v </w:t>
      </w:r>
      <w:r>
        <w:rPr>
          <w:sz w:val="20"/>
        </w:rPr>
        <w:t>K</w:t>
      </w:r>
      <w:r w:rsidRPr="00F77BE1">
        <w:rPr>
          <w:sz w:val="20"/>
        </w:rPr>
        <w:t>atastru nemovitostí</w:t>
      </w:r>
      <w:r w:rsidRPr="00C2610C">
        <w:rPr>
          <w:sz w:val="20"/>
        </w:rPr>
        <w:t xml:space="preserve"> se zapisuje jako vlastník nemovité věci správce svěřenského fondu, a nikoliv svěřenský fond sám</w:t>
      </w:r>
      <w:r>
        <w:rPr>
          <w:sz w:val="20"/>
        </w:rPr>
        <w:t>,</w:t>
      </w:r>
      <w:r w:rsidRPr="00C2610C">
        <w:rPr>
          <w:sz w:val="20"/>
        </w:rPr>
        <w:t xml:space="preserve"> zatímco v daňových věcech se uplatňuje fikce, že poplatníkem daně z příjmů je svěřenský fond, přičemž jeho povinnosti plní svěřenský správce</w:t>
      </w:r>
      <w:r>
        <w:rPr>
          <w:sz w:val="20"/>
        </w:rPr>
        <w:t>.</w:t>
      </w:r>
    </w:p>
  </w:footnote>
  <w:footnote w:id="8">
    <w:p w:rsidR="00B3013A" w:rsidRDefault="00B3013A" w:rsidP="008E6297">
      <w:pPr>
        <w:pStyle w:val="Textpoznpodarou"/>
      </w:pPr>
      <w:r>
        <w:rPr>
          <w:rStyle w:val="Znakapoznpodarou"/>
        </w:rPr>
        <w:footnoteRef/>
      </w:r>
      <w:r>
        <w:t xml:space="preserve"> Aplikace daně z příjmů fyzických osob má především historické důvody z hlediska obvyklého účelu trustu, kterým byla a je správa majetku, jehož ultimátními beneficienty jsou fyzické osoby.</w:t>
      </w:r>
    </w:p>
  </w:footnote>
  <w:footnote w:id="9">
    <w:p w:rsidR="00B3013A" w:rsidRDefault="00B3013A" w:rsidP="008E6297">
      <w:pPr>
        <w:pStyle w:val="Textpoznpodarou"/>
      </w:pPr>
      <w:r w:rsidRPr="009B6C98">
        <w:rPr>
          <w:rStyle w:val="Znakapoznpodarou"/>
        </w:rPr>
        <w:footnoteRef/>
      </w:r>
      <w:r w:rsidRPr="009B6C98">
        <w:t xml:space="preserve"> zákon č. 37/2021 Sb., o evidenci skutečných majitelů (dále jen „Z</w:t>
      </w:r>
      <w:r>
        <w:t>E</w:t>
      </w:r>
      <w:r w:rsidRPr="009B6C98">
        <w:t>SM“)</w:t>
      </w:r>
    </w:p>
  </w:footnote>
  <w:footnote w:id="10">
    <w:p w:rsidR="00B3013A" w:rsidRDefault="00B3013A" w:rsidP="008E6297">
      <w:pPr>
        <w:pStyle w:val="Textpoznpodarou"/>
      </w:pPr>
      <w:r>
        <w:rPr>
          <w:rStyle w:val="Znakapoznpodarou"/>
        </w:rPr>
        <w:footnoteRef/>
      </w:r>
      <w:r>
        <w:t xml:space="preserve"> Tato úprava navazuje na čl. 31 tzv. IV AML směrnice, podle nějž se evidenční povinnost uplatní jen ohledně právních uspořádání, která se svou strukturou nebo funkcemi podobají svěřenskému fondu. </w:t>
      </w:r>
    </w:p>
  </w:footnote>
  <w:footnote w:id="11">
    <w:p w:rsidR="00B3013A" w:rsidRDefault="00B3013A" w:rsidP="008E6297">
      <w:pPr>
        <w:pStyle w:val="Textpoznpodarou"/>
      </w:pPr>
      <w:r>
        <w:rPr>
          <w:rStyle w:val="Znakapoznpodarou"/>
        </w:rPr>
        <w:footnoteRef/>
      </w:r>
      <w:r>
        <w:t xml:space="preserve"> Podobností struktury zahraničního uspořádání se rozumí organizace správy, povaha spravovaného majetku a práva a povinnosti osob zapojených v rámci právního uspořádání</w:t>
      </w:r>
    </w:p>
  </w:footnote>
  <w:footnote w:id="12">
    <w:p w:rsidR="00B3013A" w:rsidRDefault="00B3013A" w:rsidP="008E6297">
      <w:pPr>
        <w:pStyle w:val="Textpoznpodarou"/>
      </w:pPr>
      <w:r>
        <w:rPr>
          <w:rStyle w:val="Znakapoznpodarou"/>
        </w:rPr>
        <w:footnoteRef/>
      </w:r>
      <w:r>
        <w:t xml:space="preserve"> viz rosudek SDEU </w:t>
      </w:r>
      <w:r w:rsidRPr="0058798B">
        <w:t>C</w:t>
      </w:r>
      <w:r w:rsidRPr="0058798B">
        <w:noBreakHyphen/>
        <w:t>646/15 Trustees of the P Panayi Accumulation &amp; Maintenance Settlements</w:t>
      </w:r>
    </w:p>
  </w:footnote>
  <w:footnote w:id="13">
    <w:p w:rsidR="00B3013A" w:rsidRPr="000762E1" w:rsidRDefault="00B3013A" w:rsidP="00C63718">
      <w:pPr>
        <w:pStyle w:val="Textpoznpodarou"/>
        <w:rPr>
          <w:rFonts w:ascii="Arial" w:hAnsi="Arial" w:cs="Arial"/>
        </w:rPr>
      </w:pPr>
      <w:r w:rsidRPr="000762E1">
        <w:rPr>
          <w:rStyle w:val="Znakapoznpodarou"/>
          <w:rFonts w:ascii="Arial" w:hAnsi="Arial" w:cs="Arial"/>
          <w:sz w:val="16"/>
          <w:szCs w:val="16"/>
        </w:rPr>
        <w:footnoteRef/>
      </w:r>
      <w:r w:rsidRPr="000762E1">
        <w:rPr>
          <w:rFonts w:ascii="Arial" w:hAnsi="Arial" w:cs="Arial"/>
          <w:sz w:val="16"/>
          <w:szCs w:val="16"/>
        </w:rPr>
        <w:t xml:space="preserve"> </w:t>
      </w:r>
      <w:r w:rsidRPr="00F461BD">
        <w:rPr>
          <w:rFonts w:ascii="Arial" w:hAnsi="Arial" w:cs="Arial"/>
          <w:sz w:val="16"/>
          <w:szCs w:val="16"/>
        </w:rPr>
        <w:t>Dlouhodobý majetek je pro účely DPH definován odkazem na zákon o dan</w:t>
      </w:r>
      <w:r>
        <w:rPr>
          <w:rFonts w:ascii="Arial" w:hAnsi="Arial" w:cs="Arial"/>
          <w:sz w:val="16"/>
          <w:szCs w:val="16"/>
        </w:rPr>
        <w:t>ích</w:t>
      </w:r>
      <w:r w:rsidRPr="00F461BD">
        <w:rPr>
          <w:rFonts w:ascii="Arial" w:hAnsi="Arial" w:cs="Arial"/>
          <w:sz w:val="16"/>
          <w:szCs w:val="16"/>
        </w:rPr>
        <w:t xml:space="preserve"> z příjmu. Dle </w:t>
      </w:r>
      <w:r w:rsidRPr="000762E1">
        <w:rPr>
          <w:rFonts w:ascii="Arial" w:hAnsi="Arial" w:cs="Arial"/>
          <w:sz w:val="16"/>
          <w:szCs w:val="16"/>
        </w:rPr>
        <w:t>§26 odst. 2) a 3) zákona č.</w:t>
      </w:r>
      <w:r>
        <w:rPr>
          <w:rFonts w:ascii="Arial" w:hAnsi="Arial" w:cs="Arial"/>
          <w:sz w:val="16"/>
          <w:szCs w:val="16"/>
        </w:rPr>
        <w:t> </w:t>
      </w:r>
      <w:r w:rsidRPr="000762E1">
        <w:rPr>
          <w:rFonts w:ascii="Arial" w:hAnsi="Arial" w:cs="Arial"/>
          <w:sz w:val="16"/>
          <w:szCs w:val="16"/>
        </w:rPr>
        <w:t>586/1992 Sb., o daních z příjmů výslovně stanoví, že hmotným majetkem je mimo jiné právo stavby u poplatníka, který nevede účetnictví. Argumentací a contrario tak lze dojít k závěru, že právo stavby u poplatníka, který vede účetnictví, není pro účely daně z příjmů považován za hmotný majetek.</w:t>
      </w:r>
    </w:p>
  </w:footnote>
  <w:footnote w:id="14">
    <w:p w:rsidR="00B3013A" w:rsidRPr="00056B57" w:rsidRDefault="00B3013A" w:rsidP="00C63718">
      <w:pPr>
        <w:pStyle w:val="Textpoznpodarou"/>
        <w:rPr>
          <w:rFonts w:ascii="EYInterstate Light" w:hAnsi="EYInterstate Light"/>
          <w:sz w:val="16"/>
          <w:szCs w:val="16"/>
        </w:rPr>
      </w:pPr>
      <w:r w:rsidRPr="00056B57">
        <w:rPr>
          <w:rStyle w:val="Znakapoznpodarou"/>
          <w:rFonts w:ascii="EYInterstate Light" w:hAnsi="EYInterstate Light"/>
          <w:sz w:val="16"/>
          <w:szCs w:val="16"/>
        </w:rPr>
        <w:footnoteRef/>
      </w:r>
      <w:r w:rsidRPr="00056B57">
        <w:rPr>
          <w:rFonts w:ascii="EYInterstate Light" w:hAnsi="EYInterstate Light"/>
          <w:sz w:val="16"/>
          <w:szCs w:val="16"/>
          <w:vertAlign w:val="superscript"/>
        </w:rPr>
        <w:t xml:space="preserve"> </w:t>
      </w:r>
      <w:r w:rsidRPr="00056B57">
        <w:rPr>
          <w:rFonts w:ascii="EYInterstate Light" w:hAnsi="EYInterstate Light"/>
          <w:sz w:val="16"/>
          <w:szCs w:val="16"/>
        </w:rPr>
        <w:t xml:space="preserve"> </w:t>
      </w:r>
      <w:r w:rsidRPr="00056B57">
        <w:rPr>
          <w:rStyle w:val="Znakapoznpodarou"/>
          <w:rFonts w:ascii="EYInterstate Light" w:hAnsi="EYInterstate Light"/>
          <w:sz w:val="16"/>
          <w:szCs w:val="16"/>
        </w:rPr>
        <w:t>Informace č. j. 6717/15/7000-20116-101206 ve znění dodatku č. 1 Č. j. 162134/15/7100-20116-050485</w:t>
      </w:r>
    </w:p>
  </w:footnote>
  <w:footnote w:id="15">
    <w:p w:rsidR="00B3013A" w:rsidRPr="00E92A13" w:rsidRDefault="00B3013A" w:rsidP="00C63718">
      <w:pPr>
        <w:pStyle w:val="Textpoznpodarou"/>
        <w:rPr>
          <w:sz w:val="24"/>
          <w:szCs w:val="24"/>
        </w:rPr>
      </w:pPr>
      <w:r w:rsidRPr="00E92A13">
        <w:rPr>
          <w:rStyle w:val="Znakapoznpodarou"/>
          <w:rFonts w:ascii="EYInterstate Light" w:hAnsi="EYInterstate Light"/>
          <w:sz w:val="24"/>
          <w:szCs w:val="24"/>
        </w:rPr>
        <w:footnoteRef/>
      </w:r>
      <w:r w:rsidRPr="00E92A13">
        <w:rPr>
          <w:rFonts w:ascii="EYInterstate Light" w:hAnsi="EYInterstate Light"/>
          <w:sz w:val="24"/>
          <w:szCs w:val="24"/>
        </w:rPr>
        <w:t xml:space="preserve"> </w:t>
      </w:r>
      <w:r w:rsidRPr="00E92A13">
        <w:rPr>
          <w:rStyle w:val="Znakapoznpodarou"/>
          <w:rFonts w:ascii="EYInterstate Light" w:hAnsi="EYInterstate Light"/>
          <w:sz w:val="24"/>
          <w:szCs w:val="24"/>
        </w:rPr>
        <w:t>Uplyne 5 let od vydání kolaudačního souhlasu nebo kolaudačního souhlasu po podstatné změně stavby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13A" w:rsidRPr="0057195C" w:rsidRDefault="00B3013A" w:rsidP="00420FCE">
    <w:pPr>
      <w:pStyle w:val="Zhlav"/>
      <w:pBdr>
        <w:bottom w:val="single" w:sz="4" w:space="1" w:color="auto"/>
      </w:pBdr>
      <w:rPr>
        <w:sz w:val="20"/>
        <w:szCs w:val="20"/>
      </w:rPr>
    </w:pPr>
    <w:proofErr w:type="gramStart"/>
    <w:r>
      <w:rPr>
        <w:sz w:val="20"/>
        <w:szCs w:val="20"/>
      </w:rPr>
      <w:t>24.11.2021</w:t>
    </w:r>
    <w:proofErr w:type="gramEnd"/>
    <w:r>
      <w:rPr>
        <w:sz w:val="20"/>
        <w:szCs w:val="20"/>
      </w:rPr>
      <w:tab/>
    </w:r>
    <w:r>
      <w:rPr>
        <w:sz w:val="20"/>
        <w:szCs w:val="20"/>
      </w:rPr>
      <w:tab/>
    </w:r>
    <w:r>
      <w:rPr>
        <w:sz w:val="20"/>
        <w:szCs w:val="20"/>
      </w:rPr>
      <w:tab/>
      <w:t>Koordinační výbor  11/21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D62F43"/>
    <w:multiLevelType w:val="hybridMultilevel"/>
    <w:tmpl w:val="A7EC8E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20784B30"/>
    <w:multiLevelType w:val="hybridMultilevel"/>
    <w:tmpl w:val="E0EECC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20D7EDD"/>
    <w:multiLevelType w:val="hybridMultilevel"/>
    <w:tmpl w:val="36DE75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302E7E"/>
    <w:multiLevelType w:val="hybridMultilevel"/>
    <w:tmpl w:val="D654FE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2B773FE4"/>
    <w:multiLevelType w:val="hybridMultilevel"/>
    <w:tmpl w:val="82A456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1"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5"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6" w15:restartNumberingAfterBreak="0">
    <w:nsid w:val="3C043588"/>
    <w:multiLevelType w:val="hybridMultilevel"/>
    <w:tmpl w:val="D01073B6"/>
    <w:lvl w:ilvl="0" w:tplc="EC481B02">
      <w:start w:val="2"/>
      <w:numFmt w:val="upperRoman"/>
      <w:lvlText w:val="%1."/>
      <w:lvlJc w:val="righ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0F945EE"/>
    <w:multiLevelType w:val="hybridMultilevel"/>
    <w:tmpl w:val="0F06CE6A"/>
    <w:lvl w:ilvl="0" w:tplc="8EB2B12A">
      <w:start w:val="1"/>
      <w:numFmt w:val="decimal"/>
      <w:lvlText w:val="%1."/>
      <w:lvlJc w:val="left"/>
      <w:pPr>
        <w:ind w:left="720" w:hanging="360"/>
      </w:pPr>
      <w:rPr>
        <w:rFonts w:hint="default"/>
        <w:b/>
        <w:color w:val="38383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4"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5"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C475402"/>
    <w:multiLevelType w:val="hybridMultilevel"/>
    <w:tmpl w:val="4D2E6E30"/>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4" w15:restartNumberingAfterBreak="0">
    <w:nsid w:val="63EF1C4C"/>
    <w:multiLevelType w:val="hybridMultilevel"/>
    <w:tmpl w:val="83F2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8" w15:restartNumberingAfterBreak="0">
    <w:nsid w:val="6D005A06"/>
    <w:multiLevelType w:val="multilevel"/>
    <w:tmpl w:val="496E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0"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1" w15:restartNumberingAfterBreak="0">
    <w:nsid w:val="74955151"/>
    <w:multiLevelType w:val="hybridMultilevel"/>
    <w:tmpl w:val="BEAC5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ACC3E3E"/>
    <w:multiLevelType w:val="hybridMultilevel"/>
    <w:tmpl w:val="6A9074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B9A12CE"/>
    <w:multiLevelType w:val="hybridMultilevel"/>
    <w:tmpl w:val="28E2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4"/>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7"/>
  </w:num>
  <w:num w:numId="7">
    <w:abstractNumId w:val="27"/>
  </w:num>
  <w:num w:numId="8">
    <w:abstractNumId w:val="5"/>
  </w:num>
  <w:num w:numId="9">
    <w:abstractNumId w:val="10"/>
  </w:num>
  <w:num w:numId="10">
    <w:abstractNumId w:val="41"/>
  </w:num>
  <w:num w:numId="11">
    <w:abstractNumId w:val="43"/>
  </w:num>
  <w:num w:numId="12">
    <w:abstractNumId w:val="42"/>
  </w:num>
  <w:num w:numId="13">
    <w:abstractNumId w:val="23"/>
  </w:num>
  <w:num w:numId="14">
    <w:abstractNumId w:val="46"/>
  </w:num>
  <w:num w:numId="15">
    <w:abstractNumId w:val="7"/>
  </w:num>
  <w:num w:numId="16">
    <w:abstractNumId w:val="35"/>
  </w:num>
  <w:num w:numId="17">
    <w:abstractNumId w:val="37"/>
  </w:num>
  <w:num w:numId="18">
    <w:abstractNumId w:val="40"/>
  </w:num>
  <w:num w:numId="19">
    <w:abstractNumId w:val="22"/>
  </w:num>
  <w:num w:numId="20">
    <w:abstractNumId w:val="9"/>
  </w:num>
  <w:num w:numId="21">
    <w:abstractNumId w:val="33"/>
  </w:num>
  <w:num w:numId="22">
    <w:abstractNumId w:val="34"/>
  </w:num>
  <w:num w:numId="23">
    <w:abstractNumId w:val="2"/>
  </w:num>
  <w:num w:numId="24">
    <w:abstractNumId w:val="0"/>
  </w:num>
  <w:num w:numId="25">
    <w:abstractNumId w:val="54"/>
  </w:num>
  <w:num w:numId="26">
    <w:abstractNumId w:val="6"/>
  </w:num>
  <w:num w:numId="27">
    <w:abstractNumId w:val="17"/>
  </w:num>
  <w:num w:numId="28">
    <w:abstractNumId w:val="8"/>
  </w:num>
  <w:num w:numId="29">
    <w:abstractNumId w:val="12"/>
  </w:num>
  <w:num w:numId="30">
    <w:abstractNumId w:val="45"/>
  </w:num>
  <w:num w:numId="31">
    <w:abstractNumId w:val="24"/>
  </w:num>
  <w:num w:numId="32">
    <w:abstractNumId w:val="38"/>
  </w:num>
  <w:num w:numId="33">
    <w:abstractNumId w:val="36"/>
  </w:num>
  <w:num w:numId="34">
    <w:abstractNumId w:val="39"/>
  </w:num>
  <w:num w:numId="35">
    <w:abstractNumId w:val="30"/>
  </w:num>
  <w:num w:numId="36">
    <w:abstractNumId w:val="28"/>
  </w:num>
  <w:num w:numId="37">
    <w:abstractNumId w:val="32"/>
  </w:num>
  <w:num w:numId="38">
    <w:abstractNumId w:val="50"/>
  </w:num>
  <w:num w:numId="39">
    <w:abstractNumId w:val="29"/>
  </w:num>
  <w:num w:numId="40">
    <w:abstractNumId w:val="31"/>
  </w:num>
  <w:num w:numId="41">
    <w:abstractNumId w:val="52"/>
  </w:num>
  <w:num w:numId="42">
    <w:abstractNumId w:val="48"/>
  </w:num>
  <w:num w:numId="43">
    <w:abstractNumId w:val="26"/>
  </w:num>
  <w:num w:numId="44">
    <w:abstractNumId w:val="16"/>
  </w:num>
  <w:num w:numId="45">
    <w:abstractNumId w:val="51"/>
  </w:num>
  <w:num w:numId="46">
    <w:abstractNumId w:val="44"/>
  </w:num>
  <w:num w:numId="47">
    <w:abstractNumId w:val="14"/>
  </w:num>
  <w:num w:numId="48">
    <w:abstractNumId w:val="15"/>
  </w:num>
  <w:num w:numId="49">
    <w:abstractNumId w:val="19"/>
  </w:num>
  <w:num w:numId="50">
    <w:abstractNumId w:val="53"/>
  </w:num>
  <w:num w:numId="5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06DD5"/>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67D2"/>
    <w:rsid w:val="00047F98"/>
    <w:rsid w:val="00050446"/>
    <w:rsid w:val="00050A8C"/>
    <w:rsid w:val="00051B04"/>
    <w:rsid w:val="00052D33"/>
    <w:rsid w:val="000575CA"/>
    <w:rsid w:val="00062300"/>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29DA"/>
    <w:rsid w:val="00092FE7"/>
    <w:rsid w:val="0009712C"/>
    <w:rsid w:val="000972F3"/>
    <w:rsid w:val="00097FA7"/>
    <w:rsid w:val="000A1E44"/>
    <w:rsid w:val="000A2C41"/>
    <w:rsid w:val="000A3D68"/>
    <w:rsid w:val="000A6294"/>
    <w:rsid w:val="000A6DE8"/>
    <w:rsid w:val="000A76FE"/>
    <w:rsid w:val="000B2570"/>
    <w:rsid w:val="000B3326"/>
    <w:rsid w:val="000B36C5"/>
    <w:rsid w:val="000B3C04"/>
    <w:rsid w:val="000B5510"/>
    <w:rsid w:val="000B6488"/>
    <w:rsid w:val="000C1028"/>
    <w:rsid w:val="000C3DD3"/>
    <w:rsid w:val="000C41C2"/>
    <w:rsid w:val="000C43BD"/>
    <w:rsid w:val="000C44B1"/>
    <w:rsid w:val="000D3F3D"/>
    <w:rsid w:val="000D578D"/>
    <w:rsid w:val="000D7F4F"/>
    <w:rsid w:val="000E0340"/>
    <w:rsid w:val="000E2B6A"/>
    <w:rsid w:val="000E33E0"/>
    <w:rsid w:val="000E40F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5F38"/>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2E87"/>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7210"/>
    <w:rsid w:val="002007B4"/>
    <w:rsid w:val="00202088"/>
    <w:rsid w:val="00203388"/>
    <w:rsid w:val="00204FA5"/>
    <w:rsid w:val="0020614A"/>
    <w:rsid w:val="002072D2"/>
    <w:rsid w:val="002109CA"/>
    <w:rsid w:val="00212699"/>
    <w:rsid w:val="0021573F"/>
    <w:rsid w:val="00216D04"/>
    <w:rsid w:val="0021789D"/>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4385"/>
    <w:rsid w:val="00246F36"/>
    <w:rsid w:val="002502A4"/>
    <w:rsid w:val="002504A7"/>
    <w:rsid w:val="00251DB3"/>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61D"/>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070F2"/>
    <w:rsid w:val="00312683"/>
    <w:rsid w:val="0031351A"/>
    <w:rsid w:val="00322620"/>
    <w:rsid w:val="00322DB8"/>
    <w:rsid w:val="00325641"/>
    <w:rsid w:val="00325A8B"/>
    <w:rsid w:val="00326AA1"/>
    <w:rsid w:val="00327CE7"/>
    <w:rsid w:val="00330400"/>
    <w:rsid w:val="003306F2"/>
    <w:rsid w:val="00336506"/>
    <w:rsid w:val="003402F6"/>
    <w:rsid w:val="00340923"/>
    <w:rsid w:val="00341E5A"/>
    <w:rsid w:val="00342A3B"/>
    <w:rsid w:val="00343B86"/>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4068"/>
    <w:rsid w:val="00376C8F"/>
    <w:rsid w:val="0038440D"/>
    <w:rsid w:val="003853B0"/>
    <w:rsid w:val="003863B2"/>
    <w:rsid w:val="00386562"/>
    <w:rsid w:val="00386AA7"/>
    <w:rsid w:val="0038705E"/>
    <w:rsid w:val="00387FF1"/>
    <w:rsid w:val="00391CAF"/>
    <w:rsid w:val="003921F8"/>
    <w:rsid w:val="003938A4"/>
    <w:rsid w:val="00393BB7"/>
    <w:rsid w:val="003945F3"/>
    <w:rsid w:val="00394889"/>
    <w:rsid w:val="003A040E"/>
    <w:rsid w:val="003A1FD1"/>
    <w:rsid w:val="003A26B3"/>
    <w:rsid w:val="003A2FBC"/>
    <w:rsid w:val="003A4D7B"/>
    <w:rsid w:val="003A6762"/>
    <w:rsid w:val="003A687E"/>
    <w:rsid w:val="003B0672"/>
    <w:rsid w:val="003B0884"/>
    <w:rsid w:val="003B1BF1"/>
    <w:rsid w:val="003B4D5F"/>
    <w:rsid w:val="003B4F20"/>
    <w:rsid w:val="003C2176"/>
    <w:rsid w:val="003C332C"/>
    <w:rsid w:val="003C394F"/>
    <w:rsid w:val="003C4AC9"/>
    <w:rsid w:val="003D0EEE"/>
    <w:rsid w:val="003D4DBB"/>
    <w:rsid w:val="003D70BC"/>
    <w:rsid w:val="003E0ADE"/>
    <w:rsid w:val="003E11A2"/>
    <w:rsid w:val="003E19CF"/>
    <w:rsid w:val="003E1BF5"/>
    <w:rsid w:val="003E33AF"/>
    <w:rsid w:val="003E4CCD"/>
    <w:rsid w:val="003E4CF0"/>
    <w:rsid w:val="003E4D75"/>
    <w:rsid w:val="003E5390"/>
    <w:rsid w:val="003E703A"/>
    <w:rsid w:val="003F132B"/>
    <w:rsid w:val="00405715"/>
    <w:rsid w:val="00410C1C"/>
    <w:rsid w:val="00410E81"/>
    <w:rsid w:val="0041250E"/>
    <w:rsid w:val="00414B6A"/>
    <w:rsid w:val="0041506B"/>
    <w:rsid w:val="0041651D"/>
    <w:rsid w:val="00420FCE"/>
    <w:rsid w:val="00424DA0"/>
    <w:rsid w:val="00425AC2"/>
    <w:rsid w:val="00431402"/>
    <w:rsid w:val="0043237B"/>
    <w:rsid w:val="00437AAC"/>
    <w:rsid w:val="00441EDE"/>
    <w:rsid w:val="00442D90"/>
    <w:rsid w:val="00443825"/>
    <w:rsid w:val="00445CF1"/>
    <w:rsid w:val="004461DA"/>
    <w:rsid w:val="00447512"/>
    <w:rsid w:val="004505FC"/>
    <w:rsid w:val="004524CC"/>
    <w:rsid w:val="00453B02"/>
    <w:rsid w:val="00456F97"/>
    <w:rsid w:val="0046373B"/>
    <w:rsid w:val="004665A8"/>
    <w:rsid w:val="004677CF"/>
    <w:rsid w:val="004710EB"/>
    <w:rsid w:val="004726EA"/>
    <w:rsid w:val="00474CC4"/>
    <w:rsid w:val="004753F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42AF"/>
    <w:rsid w:val="004E5A19"/>
    <w:rsid w:val="004E6028"/>
    <w:rsid w:val="004E78AB"/>
    <w:rsid w:val="004F20FB"/>
    <w:rsid w:val="004F254C"/>
    <w:rsid w:val="004F2AA9"/>
    <w:rsid w:val="004F4791"/>
    <w:rsid w:val="004F4D30"/>
    <w:rsid w:val="0050391A"/>
    <w:rsid w:val="00504F36"/>
    <w:rsid w:val="0050531E"/>
    <w:rsid w:val="00507873"/>
    <w:rsid w:val="00510519"/>
    <w:rsid w:val="00511F0F"/>
    <w:rsid w:val="005160A2"/>
    <w:rsid w:val="00516B13"/>
    <w:rsid w:val="00521ED9"/>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6453"/>
    <w:rsid w:val="005D6BBA"/>
    <w:rsid w:val="005E36AA"/>
    <w:rsid w:val="005E4E2D"/>
    <w:rsid w:val="005E57A5"/>
    <w:rsid w:val="005F0686"/>
    <w:rsid w:val="005F7952"/>
    <w:rsid w:val="00601804"/>
    <w:rsid w:val="006019D4"/>
    <w:rsid w:val="00602B38"/>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AC4"/>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64B0"/>
    <w:rsid w:val="006B1B74"/>
    <w:rsid w:val="006B1E44"/>
    <w:rsid w:val="006C2ED4"/>
    <w:rsid w:val="006C396E"/>
    <w:rsid w:val="006C40BB"/>
    <w:rsid w:val="006C63EB"/>
    <w:rsid w:val="006C6AB7"/>
    <w:rsid w:val="006C77E8"/>
    <w:rsid w:val="006D2AE8"/>
    <w:rsid w:val="006D3AEE"/>
    <w:rsid w:val="006D57F9"/>
    <w:rsid w:val="006E33B9"/>
    <w:rsid w:val="006E5349"/>
    <w:rsid w:val="006F0161"/>
    <w:rsid w:val="006F06E0"/>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2CF"/>
    <w:rsid w:val="007539D0"/>
    <w:rsid w:val="00754563"/>
    <w:rsid w:val="0075656C"/>
    <w:rsid w:val="00757660"/>
    <w:rsid w:val="007612CE"/>
    <w:rsid w:val="00766188"/>
    <w:rsid w:val="007667FB"/>
    <w:rsid w:val="00771559"/>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4014"/>
    <w:rsid w:val="008143E8"/>
    <w:rsid w:val="00814E6B"/>
    <w:rsid w:val="00815FE4"/>
    <w:rsid w:val="00816096"/>
    <w:rsid w:val="00817C65"/>
    <w:rsid w:val="008208A0"/>
    <w:rsid w:val="00822810"/>
    <w:rsid w:val="00822E0F"/>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5261"/>
    <w:rsid w:val="0085613D"/>
    <w:rsid w:val="00860214"/>
    <w:rsid w:val="0086185B"/>
    <w:rsid w:val="00865843"/>
    <w:rsid w:val="00865CE0"/>
    <w:rsid w:val="008664CF"/>
    <w:rsid w:val="00866C5E"/>
    <w:rsid w:val="00867A21"/>
    <w:rsid w:val="00870DC9"/>
    <w:rsid w:val="00872796"/>
    <w:rsid w:val="00872C80"/>
    <w:rsid w:val="00872F67"/>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23CC"/>
    <w:rsid w:val="008E2D02"/>
    <w:rsid w:val="008E34B8"/>
    <w:rsid w:val="008E39C3"/>
    <w:rsid w:val="008E6297"/>
    <w:rsid w:val="008E6466"/>
    <w:rsid w:val="008E6E9A"/>
    <w:rsid w:val="008E7CE1"/>
    <w:rsid w:val="008F66B0"/>
    <w:rsid w:val="0090270D"/>
    <w:rsid w:val="009079CC"/>
    <w:rsid w:val="0091105F"/>
    <w:rsid w:val="009116A0"/>
    <w:rsid w:val="00912A04"/>
    <w:rsid w:val="00916105"/>
    <w:rsid w:val="009218F3"/>
    <w:rsid w:val="00922312"/>
    <w:rsid w:val="009233CE"/>
    <w:rsid w:val="009235CC"/>
    <w:rsid w:val="009258E8"/>
    <w:rsid w:val="009267A7"/>
    <w:rsid w:val="00932336"/>
    <w:rsid w:val="00932371"/>
    <w:rsid w:val="0093436F"/>
    <w:rsid w:val="00936DF1"/>
    <w:rsid w:val="009374F6"/>
    <w:rsid w:val="00937690"/>
    <w:rsid w:val="00937D7C"/>
    <w:rsid w:val="00941C0E"/>
    <w:rsid w:val="00943471"/>
    <w:rsid w:val="009453E6"/>
    <w:rsid w:val="00945F13"/>
    <w:rsid w:val="00950447"/>
    <w:rsid w:val="00952531"/>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CC1"/>
    <w:rsid w:val="009A1018"/>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2072"/>
    <w:rsid w:val="009D3FB4"/>
    <w:rsid w:val="009D5D62"/>
    <w:rsid w:val="009D6AAF"/>
    <w:rsid w:val="009D7DFB"/>
    <w:rsid w:val="009E3287"/>
    <w:rsid w:val="009E4CD4"/>
    <w:rsid w:val="009F019C"/>
    <w:rsid w:val="009F047D"/>
    <w:rsid w:val="009F5356"/>
    <w:rsid w:val="009F5F3B"/>
    <w:rsid w:val="009F6C74"/>
    <w:rsid w:val="00A002ED"/>
    <w:rsid w:val="00A00B22"/>
    <w:rsid w:val="00A068ED"/>
    <w:rsid w:val="00A10EB2"/>
    <w:rsid w:val="00A11FFE"/>
    <w:rsid w:val="00A12BF1"/>
    <w:rsid w:val="00A150C4"/>
    <w:rsid w:val="00A17C5A"/>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1192"/>
    <w:rsid w:val="00AA27D7"/>
    <w:rsid w:val="00AA6781"/>
    <w:rsid w:val="00AB53E7"/>
    <w:rsid w:val="00AB5825"/>
    <w:rsid w:val="00AB7017"/>
    <w:rsid w:val="00AB78CC"/>
    <w:rsid w:val="00AC2BB4"/>
    <w:rsid w:val="00AC3CAC"/>
    <w:rsid w:val="00AC5CBC"/>
    <w:rsid w:val="00AC612D"/>
    <w:rsid w:val="00AD3808"/>
    <w:rsid w:val="00AD3A2D"/>
    <w:rsid w:val="00AD5BBD"/>
    <w:rsid w:val="00AD6367"/>
    <w:rsid w:val="00AD65B1"/>
    <w:rsid w:val="00AE097F"/>
    <w:rsid w:val="00AE0B6B"/>
    <w:rsid w:val="00AE31B0"/>
    <w:rsid w:val="00AE3ACE"/>
    <w:rsid w:val="00AE3BC2"/>
    <w:rsid w:val="00AE5E51"/>
    <w:rsid w:val="00AF4279"/>
    <w:rsid w:val="00AF430E"/>
    <w:rsid w:val="00AF5B1C"/>
    <w:rsid w:val="00AF6018"/>
    <w:rsid w:val="00AF7D27"/>
    <w:rsid w:val="00B052D9"/>
    <w:rsid w:val="00B0788E"/>
    <w:rsid w:val="00B13E9F"/>
    <w:rsid w:val="00B20AEB"/>
    <w:rsid w:val="00B246AA"/>
    <w:rsid w:val="00B27F54"/>
    <w:rsid w:val="00B3013A"/>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74F4"/>
    <w:rsid w:val="00B53689"/>
    <w:rsid w:val="00B5514A"/>
    <w:rsid w:val="00B6379B"/>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4B54"/>
    <w:rsid w:val="00B95DC7"/>
    <w:rsid w:val="00B96AB0"/>
    <w:rsid w:val="00B96F28"/>
    <w:rsid w:val="00BA07DF"/>
    <w:rsid w:val="00BA1A6B"/>
    <w:rsid w:val="00BA3FA5"/>
    <w:rsid w:val="00BA75BF"/>
    <w:rsid w:val="00BB0BAC"/>
    <w:rsid w:val="00BB0BE3"/>
    <w:rsid w:val="00BB1318"/>
    <w:rsid w:val="00BB163D"/>
    <w:rsid w:val="00BB2198"/>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3D34"/>
    <w:rsid w:val="00BF3F76"/>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718"/>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15D5"/>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6996"/>
    <w:rsid w:val="00D17030"/>
    <w:rsid w:val="00D221BF"/>
    <w:rsid w:val="00D22807"/>
    <w:rsid w:val="00D2630A"/>
    <w:rsid w:val="00D30566"/>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B0D00"/>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B0D"/>
    <w:rsid w:val="00F144DB"/>
    <w:rsid w:val="00F16511"/>
    <w:rsid w:val="00F17312"/>
    <w:rsid w:val="00F17C22"/>
    <w:rsid w:val="00F209AB"/>
    <w:rsid w:val="00F2210D"/>
    <w:rsid w:val="00F33760"/>
    <w:rsid w:val="00F35D8E"/>
    <w:rsid w:val="00F37105"/>
    <w:rsid w:val="00F40E67"/>
    <w:rsid w:val="00F42B2E"/>
    <w:rsid w:val="00F4545F"/>
    <w:rsid w:val="00F45DA6"/>
    <w:rsid w:val="00F45F7C"/>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860B1"/>
    <w:rsid w:val="00F90A56"/>
    <w:rsid w:val="00F92C83"/>
    <w:rsid w:val="00F95AB1"/>
    <w:rsid w:val="00F96B06"/>
    <w:rsid w:val="00FA169B"/>
    <w:rsid w:val="00FA3D47"/>
    <w:rsid w:val="00FA5FF2"/>
    <w:rsid w:val="00FB183C"/>
    <w:rsid w:val="00FB1B8E"/>
    <w:rsid w:val="00FB32E7"/>
    <w:rsid w:val="00FB4CA8"/>
    <w:rsid w:val="00FC02AD"/>
    <w:rsid w:val="00FC2DD3"/>
    <w:rsid w:val="00FC57E5"/>
    <w:rsid w:val="00FC5FF2"/>
    <w:rsid w:val="00FC7669"/>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56C"/>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99"/>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uiPriority w:val="99"/>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39"/>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uiPriority w:val="99"/>
    <w:rsid w:val="00912A04"/>
    <w:pPr>
      <w:spacing w:before="100" w:beforeAutospacing="1" w:after="100" w:afterAutospacing="1"/>
    </w:pPr>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e.kdpcr.cz/directory?link=aspi%3A%2F%2F91%2F2012%20Sb.%237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32DF6-C582-4ED7-A355-7C296E3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11592</Words>
  <Characters>68399</Characters>
  <Application>Microsoft Office Word</Application>
  <DocSecurity>0</DocSecurity>
  <Lines>569</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79832</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Mattauschová Blanka Ing.</cp:lastModifiedBy>
  <cp:revision>4</cp:revision>
  <cp:lastPrinted>2021-05-19T18:43:00Z</cp:lastPrinted>
  <dcterms:created xsi:type="dcterms:W3CDTF">2021-12-01T13:42:00Z</dcterms:created>
  <dcterms:modified xsi:type="dcterms:W3CDTF">2021-12-01T13:45:00Z</dcterms:modified>
</cp:coreProperties>
</file>